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2"/>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2"/>
        <w:jc w:val="center"/>
        <w:rPr>
          <w:rFonts w:hint="eastAsia" w:ascii="宋体" w:hAnsi="宋体"/>
          <w:b/>
          <w:sz w:val="48"/>
          <w:szCs w:val="48"/>
        </w:rPr>
      </w:pPr>
    </w:p>
    <w:p w14:paraId="698CE49C">
      <w:pPr>
        <w:pStyle w:val="2"/>
        <w:jc w:val="center"/>
      </w:pPr>
      <w:r>
        <w:rPr>
          <w:rFonts w:hint="eastAsia" w:ascii="宋体" w:hAnsi="宋体"/>
          <w:b/>
          <w:sz w:val="48"/>
          <w:szCs w:val="48"/>
        </w:rPr>
        <w:t>濮阳县中医医院</w:t>
      </w:r>
    </w:p>
    <w:p w14:paraId="03A9F380">
      <w:pPr>
        <w:pStyle w:val="17"/>
        <w:widowControl/>
        <w:spacing w:line="500" w:lineRule="exact"/>
        <w:jc w:val="center"/>
        <w:rPr>
          <w:rFonts w:hint="eastAsia" w:ascii="宋体" w:hAnsi="宋体"/>
          <w:b/>
          <w:kern w:val="2"/>
          <w:sz w:val="48"/>
          <w:szCs w:val="48"/>
        </w:rPr>
      </w:pPr>
      <w:r>
        <w:rPr>
          <w:rFonts w:hint="eastAsia" w:ascii="宋体" w:hAnsi="宋体"/>
          <w:b/>
          <w:kern w:val="2"/>
          <w:sz w:val="48"/>
          <w:szCs w:val="48"/>
        </w:rPr>
        <w:t>老院区煎药房改造项目</w:t>
      </w:r>
    </w:p>
    <w:p w14:paraId="5CC3909E">
      <w:pPr>
        <w:pStyle w:val="17"/>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jc w:val="center"/>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28（三次）</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1</w:t>
      </w:r>
      <w:r>
        <w:rPr>
          <w:rFonts w:hint="eastAsia" w:ascii="宋体" w:hAnsi="宋体"/>
          <w:b/>
          <w:sz w:val="36"/>
          <w:szCs w:val="36"/>
        </w:rPr>
        <w:t>月</w:t>
      </w:r>
    </w:p>
    <w:p w14:paraId="705113C0">
      <w:pPr>
        <w:pStyle w:val="2"/>
      </w:pPr>
    </w:p>
    <w:p w14:paraId="716FA395">
      <w:pPr>
        <w:pStyle w:val="2"/>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5"/>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0"/>
      <w:bookmarkEnd w:id="1"/>
      <w:bookmarkStart w:id="2" w:name="_Hlt10646881"/>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7"/>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7"/>
        <w:widowControl/>
        <w:spacing w:line="500" w:lineRule="exact"/>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一、招标概况</w:t>
      </w:r>
    </w:p>
    <w:p w14:paraId="4D182428">
      <w:pPr>
        <w:pStyle w:val="17"/>
        <w:widowControl/>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濮阳县中医医院老院区煎药房改造项目</w:t>
      </w:r>
    </w:p>
    <w:p w14:paraId="322FDDC3">
      <w:pPr>
        <w:pStyle w:val="17"/>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28（三次）</w:t>
      </w:r>
    </w:p>
    <w:p w14:paraId="715B4366">
      <w:pPr>
        <w:pStyle w:val="17"/>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0"/>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3802"/>
        <w:gridCol w:w="2252"/>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7"/>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8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地点</w:t>
            </w:r>
          </w:p>
        </w:tc>
        <w:tc>
          <w:tcPr>
            <w:tcW w:w="225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濮阳县中医医院老院区煎药房改造项目</w:t>
            </w:r>
          </w:p>
        </w:tc>
        <w:tc>
          <w:tcPr>
            <w:tcW w:w="3802"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1120" w:leftChars="0" w:hanging="1120" w:hangingChars="4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老院区煎药房</w:t>
            </w:r>
          </w:p>
        </w:tc>
        <w:tc>
          <w:tcPr>
            <w:tcW w:w="2252"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1.1855</w:t>
            </w:r>
          </w:p>
        </w:tc>
      </w:tr>
    </w:tbl>
    <w:p w14:paraId="71B4CFD1">
      <w:pPr>
        <w:pStyle w:val="17"/>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60F188F3">
      <w:pPr>
        <w:pStyle w:val="2"/>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2D1FAE97">
      <w:pPr>
        <w:widowControl/>
        <w:spacing w:line="560" w:lineRule="exact"/>
        <w:ind w:firstLine="560" w:firstLineChars="200"/>
        <w:rPr>
          <w:rFonts w:hint="eastAsia" w:ascii="仿宋_GB2312" w:hAnsi="仿宋_GB2312" w:eastAsia="仿宋_GB2312" w:cs="仿宋_GB2312"/>
          <w:kern w:val="0"/>
          <w:sz w:val="28"/>
          <w:szCs w:val="28"/>
          <w:lang w:bidi="ar"/>
        </w:rPr>
      </w:pP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8"/>
      </w:pPr>
    </w:p>
    <w:p w14:paraId="27D35EE1">
      <w:pPr>
        <w:pStyle w:val="17"/>
        <w:widowControl/>
        <w:spacing w:line="360" w:lineRule="auto"/>
        <w:jc w:val="both"/>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三、招标公告发布地址</w:t>
      </w:r>
    </w:p>
    <w:p w14:paraId="72EBA85D">
      <w:pPr>
        <w:pStyle w:val="17"/>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5"/>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四、获取招标文件</w:t>
      </w:r>
    </w:p>
    <w:p w14:paraId="0105FC5A">
      <w:pPr>
        <w:pStyle w:val="17"/>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7"/>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7"/>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w:t>
      </w:r>
      <w:r>
        <w:rPr>
          <w:rFonts w:hint="eastAsia" w:ascii="仿宋_GB2312" w:hAnsi="仿宋_GB2312" w:eastAsia="仿宋_GB2312" w:cs="仿宋_GB2312"/>
          <w:sz w:val="28"/>
          <w:szCs w:val="28"/>
          <w:lang w:val="en-US" w:eastAsia="zh-CN" w:bidi="ar"/>
        </w:rPr>
        <w:t>6</w:t>
      </w:r>
      <w:r>
        <w:rPr>
          <w:rFonts w:hint="eastAsia" w:ascii="仿宋_GB2312" w:hAnsi="仿宋_GB2312" w:eastAsia="仿宋_GB2312" w:cs="仿宋_GB2312"/>
          <w:sz w:val="28"/>
          <w:szCs w:val="28"/>
          <w:lang w:bidi="ar"/>
        </w:rPr>
        <w:t>年</w:t>
      </w:r>
      <w:r>
        <w:rPr>
          <w:rFonts w:hint="eastAsia" w:ascii="仿宋_GB2312" w:hAnsi="仿宋_GB2312" w:eastAsia="仿宋_GB2312" w:cs="仿宋_GB2312"/>
          <w:sz w:val="28"/>
          <w:szCs w:val="28"/>
          <w:lang w:val="en-US" w:eastAsia="zh-CN" w:bidi="ar"/>
        </w:rPr>
        <w:t>1</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30</w:t>
      </w:r>
      <w:r>
        <w:rPr>
          <w:rFonts w:hint="eastAsia" w:ascii="仿宋_GB2312" w:hAnsi="仿宋_GB2312" w:eastAsia="仿宋_GB2312" w:cs="仿宋_GB2312"/>
          <w:sz w:val="28"/>
          <w:szCs w:val="28"/>
          <w:lang w:bidi="ar"/>
        </w:rPr>
        <w:t>日15:00-15:30（北京时间）。</w:t>
      </w:r>
    </w:p>
    <w:p w14:paraId="5132E6AE">
      <w:pPr>
        <w:pStyle w:val="17"/>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7"/>
        <w:widowControl/>
        <w:shd w:val="clear" w:color="auto" w:fill="FFFFFF"/>
        <w:spacing w:line="555" w:lineRule="atLeast"/>
        <w:ind w:firstLine="600"/>
        <w:rPr>
          <w:rStyle w:val="25"/>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7"/>
        <w:widowControl/>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五、开标时间及地点</w:t>
      </w:r>
    </w:p>
    <w:p w14:paraId="77A88EB8">
      <w:pPr>
        <w:pStyle w:val="17"/>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w:t>
      </w:r>
      <w:r>
        <w:rPr>
          <w:rFonts w:hint="eastAsia" w:ascii="仿宋_GB2312" w:hAnsi="仿宋_GB2312" w:eastAsia="仿宋_GB2312" w:cs="仿宋_GB2312"/>
          <w:sz w:val="28"/>
          <w:szCs w:val="28"/>
          <w:lang w:val="en-US" w:eastAsia="zh-CN" w:bidi="ar"/>
        </w:rPr>
        <w:t>6</w:t>
      </w:r>
      <w:r>
        <w:rPr>
          <w:rFonts w:hint="eastAsia" w:ascii="仿宋_GB2312" w:hAnsi="仿宋_GB2312" w:eastAsia="仿宋_GB2312" w:cs="仿宋_GB2312"/>
          <w:sz w:val="28"/>
          <w:szCs w:val="28"/>
          <w:lang w:bidi="ar"/>
        </w:rPr>
        <w:t>年</w:t>
      </w:r>
      <w:r>
        <w:rPr>
          <w:rFonts w:hint="eastAsia" w:ascii="仿宋_GB2312" w:hAnsi="仿宋_GB2312" w:eastAsia="仿宋_GB2312" w:cs="仿宋_GB2312"/>
          <w:sz w:val="28"/>
          <w:szCs w:val="28"/>
          <w:lang w:val="en-US" w:eastAsia="zh-CN" w:bidi="ar"/>
        </w:rPr>
        <w:t>1</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30</w:t>
      </w:r>
      <w:r>
        <w:rPr>
          <w:rFonts w:hint="eastAsia" w:ascii="仿宋_GB2312" w:hAnsi="仿宋_GB2312" w:eastAsia="仿宋_GB2312" w:cs="仿宋_GB2312"/>
          <w:sz w:val="28"/>
          <w:szCs w:val="28"/>
          <w:lang w:bidi="ar"/>
        </w:rPr>
        <w:t>日15：30分（北京时间）</w:t>
      </w:r>
    </w:p>
    <w:p w14:paraId="187817D1">
      <w:pPr>
        <w:pStyle w:val="17"/>
        <w:widowControl/>
        <w:shd w:val="clear" w:color="auto" w:fill="FFFFFF"/>
        <w:spacing w:line="555" w:lineRule="atLeast"/>
        <w:ind w:firstLine="560" w:firstLineChars="200"/>
        <w:rPr>
          <w:rStyle w:val="23"/>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7"/>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5"/>
          <w:rFonts w:hint="eastAsia" w:ascii="仿宋_GB2312" w:hAnsi="仿宋_GB2312" w:eastAsia="仿宋_GB2312" w:cs="仿宋_GB2312"/>
          <w:kern w:val="0"/>
          <w:sz w:val="28"/>
          <w:szCs w:val="28"/>
          <w:lang w:bidi="ar"/>
        </w:rPr>
        <w:t>pyxzyyzbb@126.com</w:t>
      </w:r>
      <w:r>
        <w:rPr>
          <w:rStyle w:val="25"/>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7"/>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7"/>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7"/>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7"/>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日</w:t>
      </w:r>
    </w:p>
    <w:p w14:paraId="585B83E6">
      <w:pPr>
        <w:pStyle w:val="2"/>
      </w:pPr>
    </w:p>
    <w:p w14:paraId="49DFFF8C">
      <w:pPr>
        <w:adjustRightInd w:val="0"/>
        <w:snapToGrid w:val="0"/>
        <w:spacing w:line="500" w:lineRule="exact"/>
        <w:jc w:val="left"/>
        <w:rPr>
          <w:b/>
          <w:sz w:val="36"/>
          <w:szCs w:val="36"/>
        </w:rPr>
      </w:pPr>
    </w:p>
    <w:p w14:paraId="315B7467">
      <w:pPr>
        <w:pStyle w:val="6"/>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8"/>
        <w:rPr>
          <w:b/>
          <w:sz w:val="36"/>
          <w:szCs w:val="36"/>
        </w:rPr>
      </w:pPr>
    </w:p>
    <w:p w14:paraId="3DE5A12D">
      <w:pPr>
        <w:pStyle w:val="28"/>
        <w:rPr>
          <w:b/>
          <w:sz w:val="36"/>
          <w:szCs w:val="36"/>
        </w:rPr>
      </w:pPr>
    </w:p>
    <w:p w14:paraId="2D65089A">
      <w:pPr>
        <w:pStyle w:val="28"/>
        <w:rPr>
          <w:b/>
          <w:sz w:val="36"/>
          <w:szCs w:val="36"/>
        </w:rPr>
      </w:pPr>
    </w:p>
    <w:p w14:paraId="1807B9D7">
      <w:pPr>
        <w:pStyle w:val="28"/>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b/>
          <w:sz w:val="36"/>
          <w:szCs w:val="36"/>
        </w:rPr>
      </w:pPr>
    </w:p>
    <w:p w14:paraId="512B5DB2">
      <w:pPr>
        <w:pStyle w:val="6"/>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0"/>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7"/>
              <w:widowControl/>
              <w:spacing w:line="360" w:lineRule="auto"/>
              <w:rPr>
                <w:rFonts w:hint="default" w:ascii="仿宋" w:hAnsi="仿宋" w:eastAsia="仿宋"/>
                <w:lang w:val="en-US" w:eastAsia="zh-CN"/>
              </w:rPr>
            </w:pPr>
            <w:r>
              <w:rPr>
                <w:rFonts w:hint="eastAsia" w:ascii="仿宋" w:hAnsi="仿宋" w:eastAsia="仿宋"/>
              </w:rPr>
              <w:t>项目名称</w:t>
            </w:r>
            <w:r>
              <w:rPr>
                <w:rFonts w:hint="eastAsia" w:ascii="仿宋" w:hAnsi="仿宋" w:eastAsia="仿宋" w:cs="Times New Roman"/>
              </w:rPr>
              <w:t>：</w:t>
            </w:r>
            <w:r>
              <w:rPr>
                <w:rFonts w:hint="eastAsia" w:ascii="仿宋" w:hAnsi="仿宋" w:eastAsia="仿宋" w:cs="Times New Roman"/>
                <w:lang w:val="en-US" w:eastAsia="zh-CN"/>
              </w:rPr>
              <w:t>老院区煎药房改造项目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28（三次）</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30</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30</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11855</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olor w:val="FF0000"/>
                <w:sz w:val="24"/>
                <w:lang w:val="en-US" w:eastAsia="zh-CN"/>
              </w:rPr>
              <w:t>验收合格后一次性付清。</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eastAsia" w:ascii="仿宋" w:hAnsi="仿宋" w:eastAsia="仿宋"/>
                <w:color w:val="FF0000"/>
                <w:sz w:val="24"/>
              </w:rPr>
            </w:pPr>
            <w:r>
              <w:rPr>
                <w:rFonts w:hint="eastAsia" w:ascii="仿宋" w:hAnsi="仿宋" w:eastAsia="仿宋"/>
                <w:color w:val="FF0000"/>
                <w:sz w:val="24"/>
                <w:lang w:val="en-US" w:eastAsia="zh-CN"/>
              </w:rPr>
              <w:t>工期</w:t>
            </w:r>
            <w:r>
              <w:rPr>
                <w:rFonts w:hint="eastAsia" w:ascii="仿宋" w:hAnsi="仿宋" w:eastAsia="仿宋"/>
                <w:color w:val="FF0000"/>
                <w:sz w:val="24"/>
              </w:rPr>
              <w:t>：</w:t>
            </w:r>
            <w:r>
              <w:rPr>
                <w:rFonts w:hint="eastAsia" w:ascii="仿宋" w:hAnsi="仿宋" w:eastAsia="仿宋"/>
                <w:color w:val="FF0000"/>
                <w:sz w:val="24"/>
                <w:lang w:val="en-US" w:eastAsia="zh-CN"/>
              </w:rPr>
              <w:t>10天。</w:t>
            </w:r>
          </w:p>
        </w:tc>
      </w:tr>
    </w:tbl>
    <w:p w14:paraId="1009BC1B">
      <w:pPr>
        <w:jc w:val="center"/>
        <w:rPr>
          <w:rFonts w:hint="eastAsia"/>
          <w:b/>
          <w:sz w:val="36"/>
          <w:szCs w:val="36"/>
        </w:rPr>
      </w:pPr>
    </w:p>
    <w:p w14:paraId="5C7C65B9">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8"/>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2"/>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6920EB37">
      <w:pPr>
        <w:jc w:val="center"/>
        <w:rPr>
          <w:b/>
          <w:sz w:val="36"/>
          <w:szCs w:val="36"/>
        </w:rPr>
      </w:pPr>
      <w:r>
        <w:rPr>
          <w:rFonts w:hint="eastAsia"/>
          <w:b/>
          <w:sz w:val="36"/>
          <w:szCs w:val="36"/>
        </w:rPr>
        <w:t>三、服务标准及要求</w:t>
      </w:r>
    </w:p>
    <w:p w14:paraId="35E8BC2A">
      <w:pPr>
        <w:pStyle w:val="19"/>
        <w:ind w:left="0" w:leftChars="0" w:firstLine="640" w:firstLineChars="200"/>
        <w:rPr>
          <w:rFonts w:hint="eastAsia" w:cs="Times New Roman"/>
          <w:b w:val="0"/>
          <w:bCs/>
          <w:kern w:val="2"/>
          <w:sz w:val="32"/>
          <w:szCs w:val="32"/>
          <w:lang w:val="en-US" w:eastAsia="zh-CN" w:bidi="ar-SA"/>
        </w:rPr>
      </w:pPr>
      <w:r>
        <w:rPr>
          <w:rFonts w:hint="eastAsia" w:ascii="Times New Roman" w:hAnsi="Times New Roman" w:eastAsia="宋体" w:cs="Times New Roman"/>
          <w:b w:val="0"/>
          <w:bCs/>
          <w:kern w:val="2"/>
          <w:sz w:val="32"/>
          <w:szCs w:val="32"/>
          <w:lang w:val="en-US" w:eastAsia="zh-CN" w:bidi="ar-SA"/>
        </w:rPr>
        <w:t>服从甲方现场人员管理，做好安全防护，对老院区</w:t>
      </w:r>
      <w:r>
        <w:rPr>
          <w:rFonts w:hint="eastAsia" w:cs="Times New Roman"/>
          <w:b w:val="0"/>
          <w:bCs/>
          <w:kern w:val="2"/>
          <w:sz w:val="32"/>
          <w:szCs w:val="32"/>
          <w:lang w:val="en-US" w:eastAsia="zh-CN" w:bidi="ar-SA"/>
        </w:rPr>
        <w:t>煎药房进行</w:t>
      </w:r>
      <w:r>
        <w:rPr>
          <w:rFonts w:hint="eastAsia" w:ascii="Times New Roman" w:hAnsi="Times New Roman" w:eastAsia="宋体" w:cs="Times New Roman"/>
          <w:b w:val="0"/>
          <w:bCs/>
          <w:kern w:val="2"/>
          <w:sz w:val="32"/>
          <w:szCs w:val="32"/>
          <w:lang w:val="en-US" w:eastAsia="zh-CN" w:bidi="ar-SA"/>
        </w:rPr>
        <w:t>改造</w:t>
      </w:r>
      <w:r>
        <w:rPr>
          <w:rFonts w:hint="eastAsia" w:cs="Times New Roman"/>
          <w:b w:val="0"/>
          <w:bCs/>
          <w:kern w:val="2"/>
          <w:sz w:val="32"/>
          <w:szCs w:val="32"/>
          <w:lang w:val="en-US" w:eastAsia="zh-CN" w:bidi="ar-SA"/>
        </w:rPr>
        <w:t>。</w:t>
      </w:r>
    </w:p>
    <w:p w14:paraId="7FCAE4DD">
      <w:pPr>
        <w:pStyle w:val="6"/>
        <w:ind w:left="0" w:leftChars="0" w:firstLine="0" w:firstLineChars="0"/>
        <w:rPr>
          <w:rFonts w:hint="eastAsia" w:cs="Times New Roman"/>
          <w:b w:val="0"/>
          <w:bCs/>
          <w:kern w:val="2"/>
          <w:sz w:val="32"/>
          <w:szCs w:val="32"/>
          <w:lang w:val="en-US" w:eastAsia="zh-CN" w:bidi="ar-SA"/>
        </w:rPr>
      </w:pPr>
      <w:r>
        <w:rPr>
          <w:rFonts w:hint="eastAsia" w:cs="Times New Roman"/>
          <w:b/>
          <w:bCs w:val="0"/>
          <w:kern w:val="2"/>
          <w:sz w:val="32"/>
          <w:szCs w:val="32"/>
          <w:lang w:val="en-US" w:eastAsia="zh-CN" w:bidi="ar-SA"/>
        </w:rPr>
        <w:t>位置</w:t>
      </w:r>
      <w:r>
        <w:rPr>
          <w:rFonts w:hint="eastAsia" w:cs="Times New Roman"/>
          <w:b w:val="0"/>
          <w:bCs/>
          <w:kern w:val="2"/>
          <w:sz w:val="32"/>
          <w:szCs w:val="32"/>
          <w:lang w:val="en-US" w:eastAsia="zh-CN" w:bidi="ar-SA"/>
        </w:rPr>
        <w:t>：老院区煎药房。</w:t>
      </w:r>
    </w:p>
    <w:p w14:paraId="685DA92D">
      <w:pPr>
        <w:pStyle w:val="19"/>
        <w:ind w:left="0" w:leftChars="0" w:firstLine="0" w:firstLineChars="0"/>
        <w:rPr>
          <w:rFonts w:hint="eastAsia" w:ascii="Times New Roman" w:hAnsi="Times New Roman" w:eastAsia="宋体" w:cs="Times New Roman"/>
          <w:b/>
          <w:bCs w:val="0"/>
          <w:kern w:val="2"/>
          <w:sz w:val="32"/>
          <w:szCs w:val="32"/>
          <w:lang w:val="en-US" w:eastAsia="zh-CN" w:bidi="ar-SA"/>
        </w:rPr>
      </w:pPr>
      <w:r>
        <w:rPr>
          <w:rFonts w:hint="eastAsia" w:ascii="Times New Roman" w:hAnsi="Times New Roman" w:eastAsia="宋体" w:cs="Times New Roman"/>
          <w:b/>
          <w:bCs w:val="0"/>
          <w:kern w:val="2"/>
          <w:sz w:val="32"/>
          <w:szCs w:val="32"/>
          <w:lang w:val="en-US" w:eastAsia="zh-CN" w:bidi="ar-SA"/>
        </w:rPr>
        <w:t>具体施工内容：</w:t>
      </w:r>
    </w:p>
    <w:p w14:paraId="3329DC43">
      <w:pPr>
        <w:pStyle w:val="6"/>
        <w:numPr>
          <w:ilvl w:val="0"/>
          <w:numId w:val="2"/>
        </w:numPr>
        <w:rPr>
          <w:rFonts w:hint="eastAsia"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墙面铺设扣板。</w:t>
      </w:r>
    </w:p>
    <w:p w14:paraId="6658702F">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对地板进行地板砖铺设。</w:t>
      </w:r>
    </w:p>
    <w:p w14:paraId="3296D925">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进行踢脚线粘贴。</w:t>
      </w:r>
    </w:p>
    <w:p w14:paraId="15EE83B4">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对水电线路进行改造。</w:t>
      </w:r>
    </w:p>
    <w:p w14:paraId="6FA33FF9">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val="0"/>
          <w:bCs/>
          <w:kern w:val="2"/>
          <w:sz w:val="32"/>
          <w:szCs w:val="32"/>
          <w:lang w:val="en-US" w:eastAsia="zh-CN" w:bidi="ar-SA"/>
        </w:rPr>
        <w:t>对外墙进行粉刷墙漆。</w:t>
      </w:r>
    </w:p>
    <w:p w14:paraId="5F66546B">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eastAsia="宋体" w:cs="Times New Roman"/>
          <w:b w:val="0"/>
          <w:bCs/>
          <w:kern w:val="2"/>
          <w:sz w:val="32"/>
          <w:szCs w:val="32"/>
          <w:lang w:val="en-US" w:eastAsia="zh-CN" w:bidi="ar-SA"/>
        </w:rPr>
        <w:t>施工所用所有产品</w:t>
      </w:r>
      <w:r>
        <w:rPr>
          <w:rFonts w:hint="eastAsia" w:ascii="Times New Roman" w:hAnsi="Times New Roman" w:cs="Times New Roman"/>
          <w:b w:val="0"/>
          <w:bCs/>
          <w:kern w:val="2"/>
          <w:sz w:val="32"/>
          <w:szCs w:val="32"/>
          <w:lang w:val="en-US" w:eastAsia="zh-CN" w:bidi="ar-SA"/>
        </w:rPr>
        <w:t>需</w:t>
      </w:r>
      <w:r>
        <w:rPr>
          <w:rFonts w:hint="eastAsia" w:ascii="Times New Roman" w:hAnsi="Times New Roman" w:eastAsia="宋体" w:cs="Times New Roman"/>
          <w:b w:val="0"/>
          <w:bCs/>
          <w:kern w:val="2"/>
          <w:sz w:val="32"/>
          <w:szCs w:val="32"/>
          <w:lang w:val="en-US" w:eastAsia="zh-CN" w:bidi="ar-SA"/>
        </w:rPr>
        <w:t>具有产品合格证书。</w:t>
      </w:r>
    </w:p>
    <w:p w14:paraId="7628684A">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eastAsia="宋体" w:cs="Times New Roman"/>
          <w:b w:val="0"/>
          <w:bCs/>
          <w:kern w:val="2"/>
          <w:sz w:val="32"/>
          <w:szCs w:val="32"/>
          <w:lang w:val="en-US" w:eastAsia="zh-CN" w:bidi="ar-SA"/>
        </w:rPr>
        <w:t>建筑垃圾倒运及外运弃土场由乙方自行解决等。</w:t>
      </w:r>
    </w:p>
    <w:p w14:paraId="3C38DFFE">
      <w:pPr>
        <w:pStyle w:val="6"/>
        <w:numPr>
          <w:ilvl w:val="0"/>
          <w:numId w:val="2"/>
        </w:numPr>
        <w:rPr>
          <w:rFonts w:hint="default" w:ascii="Times New Roman" w:hAnsi="Times New Roman" w:cs="Times New Roman"/>
          <w:b w:val="0"/>
          <w:bCs/>
          <w:kern w:val="2"/>
          <w:sz w:val="32"/>
          <w:szCs w:val="32"/>
          <w:lang w:val="en-US" w:eastAsia="zh-CN" w:bidi="ar-SA"/>
        </w:rPr>
      </w:pPr>
      <w:r>
        <w:rPr>
          <w:rFonts w:hint="eastAsia" w:ascii="Times New Roman" w:hAnsi="Times New Roman" w:eastAsia="宋体" w:cs="Times New Roman"/>
          <w:b w:val="0"/>
          <w:bCs/>
          <w:kern w:val="2"/>
          <w:sz w:val="32"/>
          <w:szCs w:val="32"/>
          <w:lang w:val="en-US" w:eastAsia="zh-CN" w:bidi="ar-SA"/>
        </w:rPr>
        <w:t>做好现场成品保护，按室内装饰装修规范进行施工等。</w:t>
      </w:r>
    </w:p>
    <w:p w14:paraId="165EF662">
      <w:pPr>
        <w:pStyle w:val="6"/>
        <w:numPr>
          <w:ilvl w:val="0"/>
          <w:numId w:val="0"/>
        </w:numPr>
        <w:rPr>
          <w:rFonts w:hint="default" w:ascii="Times New Roman" w:hAnsi="Times New Roman" w:cs="Times New Roman"/>
          <w:b w:val="0"/>
          <w:bCs/>
          <w:kern w:val="2"/>
          <w:sz w:val="32"/>
          <w:szCs w:val="32"/>
          <w:lang w:val="en-US" w:eastAsia="zh-CN" w:bidi="ar-SA"/>
        </w:rPr>
      </w:pPr>
      <w:r>
        <w:rPr>
          <w:rFonts w:hint="eastAsia" w:ascii="Times New Roman" w:hAnsi="Times New Roman" w:cs="Times New Roman"/>
          <w:b/>
          <w:bCs w:val="0"/>
          <w:kern w:val="2"/>
          <w:sz w:val="32"/>
          <w:szCs w:val="32"/>
          <w:lang w:val="en-US" w:eastAsia="zh-CN" w:bidi="ar-SA"/>
        </w:rPr>
        <w:t>煎药室工程量参数：</w:t>
      </w:r>
      <w:r>
        <w:rPr>
          <w:rFonts w:hint="eastAsia" w:ascii="Times New Roman" w:hAnsi="Times New Roman" w:eastAsia="宋体" w:cs="Times New Roman"/>
          <w:b w:val="0"/>
          <w:bCs/>
          <w:kern w:val="2"/>
          <w:sz w:val="32"/>
          <w:szCs w:val="32"/>
          <w:lang w:val="en-US" w:eastAsia="zh-CN" w:bidi="ar-SA"/>
        </w:rPr>
        <w:br w:type="textWrapping"/>
      </w:r>
    </w:p>
    <w:tbl>
      <w:tblPr>
        <w:tblStyle w:val="42"/>
        <w:tblW w:w="7847"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0"/>
        <w:gridCol w:w="1448"/>
        <w:gridCol w:w="2418"/>
        <w:gridCol w:w="1258"/>
        <w:gridCol w:w="1903"/>
      </w:tblGrid>
      <w:tr w14:paraId="2FDC5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20" w:type="dxa"/>
            <w:vMerge w:val="restart"/>
            <w:tcBorders>
              <w:top w:val="single" w:color="000000" w:sz="8" w:space="0"/>
              <w:left w:val="single" w:color="000000" w:sz="8" w:space="0"/>
              <w:bottom w:val="nil"/>
            </w:tcBorders>
            <w:vAlign w:val="center"/>
          </w:tcPr>
          <w:p w14:paraId="0D372CB4">
            <w:pPr>
              <w:pStyle w:val="41"/>
              <w:spacing w:before="55" w:line="232" w:lineRule="auto"/>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序号</w:t>
            </w:r>
          </w:p>
        </w:tc>
        <w:tc>
          <w:tcPr>
            <w:tcW w:w="1448" w:type="dxa"/>
            <w:vMerge w:val="restart"/>
            <w:tcBorders>
              <w:top w:val="single" w:color="000000" w:sz="2" w:space="0"/>
              <w:bottom w:val="nil"/>
            </w:tcBorders>
            <w:vAlign w:val="center"/>
          </w:tcPr>
          <w:p w14:paraId="14CDD2BD">
            <w:pPr>
              <w:pStyle w:val="41"/>
              <w:spacing w:before="56" w:line="231" w:lineRule="auto"/>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项目名称</w:t>
            </w:r>
          </w:p>
        </w:tc>
        <w:tc>
          <w:tcPr>
            <w:tcW w:w="2418" w:type="dxa"/>
            <w:vMerge w:val="restart"/>
            <w:tcBorders>
              <w:top w:val="single" w:color="000000" w:sz="8" w:space="0"/>
              <w:bottom w:val="nil"/>
            </w:tcBorders>
            <w:vAlign w:val="center"/>
          </w:tcPr>
          <w:p w14:paraId="07542C9E">
            <w:pPr>
              <w:pStyle w:val="41"/>
              <w:spacing w:before="55" w:line="230" w:lineRule="auto"/>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项目特征描述</w:t>
            </w:r>
          </w:p>
        </w:tc>
        <w:tc>
          <w:tcPr>
            <w:tcW w:w="1258" w:type="dxa"/>
            <w:vMerge w:val="restart"/>
            <w:tcBorders>
              <w:top w:val="single" w:color="000000" w:sz="2" w:space="0"/>
              <w:bottom w:val="nil"/>
            </w:tcBorders>
            <w:vAlign w:val="center"/>
          </w:tcPr>
          <w:p w14:paraId="675B1BB8">
            <w:pPr>
              <w:pStyle w:val="41"/>
              <w:spacing w:before="286" w:line="214" w:lineRule="auto"/>
              <w:ind w:right="79"/>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计量单位</w:t>
            </w:r>
          </w:p>
        </w:tc>
        <w:tc>
          <w:tcPr>
            <w:tcW w:w="1903" w:type="dxa"/>
            <w:vMerge w:val="restart"/>
            <w:tcBorders>
              <w:top w:val="single" w:color="000000" w:sz="2" w:space="0"/>
              <w:bottom w:val="nil"/>
            </w:tcBorders>
            <w:vAlign w:val="center"/>
          </w:tcPr>
          <w:p w14:paraId="06812AD3">
            <w:pPr>
              <w:pStyle w:val="41"/>
              <w:spacing w:before="56" w:line="231" w:lineRule="auto"/>
              <w:jc w:val="center"/>
              <w:rPr>
                <w:rFonts w:ascii="宋体" w:hAnsi="宋体" w:eastAsia="宋体" w:cs="宋体"/>
                <w:spacing w:val="5"/>
                <w:kern w:val="2"/>
                <w:sz w:val="21"/>
                <w:szCs w:val="21"/>
                <w:lang w:val="en-US" w:eastAsia="en-US" w:bidi="ar-SA"/>
              </w:rPr>
            </w:pPr>
            <w:r>
              <w:rPr>
                <w:rFonts w:ascii="宋体" w:hAnsi="宋体" w:eastAsia="宋体" w:cs="宋体"/>
                <w:spacing w:val="5"/>
                <w:kern w:val="2"/>
                <w:sz w:val="21"/>
                <w:szCs w:val="21"/>
                <w:lang w:val="en-US" w:eastAsia="en-US" w:bidi="ar-SA"/>
              </w:rPr>
              <w:t>工程量</w:t>
            </w:r>
          </w:p>
        </w:tc>
      </w:tr>
      <w:tr w14:paraId="63848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20" w:type="dxa"/>
            <w:vMerge w:val="continue"/>
            <w:tcBorders>
              <w:top w:val="nil"/>
              <w:left w:val="single" w:color="000000" w:sz="8" w:space="0"/>
              <w:bottom w:val="nil"/>
            </w:tcBorders>
            <w:vAlign w:val="top"/>
          </w:tcPr>
          <w:p w14:paraId="1524EEBB">
            <w:pPr>
              <w:rPr>
                <w:rFonts w:ascii="Arial"/>
                <w:sz w:val="21"/>
              </w:rPr>
            </w:pPr>
          </w:p>
        </w:tc>
        <w:tc>
          <w:tcPr>
            <w:tcW w:w="1448" w:type="dxa"/>
            <w:vMerge w:val="continue"/>
            <w:tcBorders>
              <w:top w:val="nil"/>
              <w:bottom w:val="nil"/>
            </w:tcBorders>
            <w:vAlign w:val="top"/>
          </w:tcPr>
          <w:p w14:paraId="014C6856">
            <w:pPr>
              <w:rPr>
                <w:rFonts w:ascii="Arial"/>
                <w:sz w:val="21"/>
              </w:rPr>
            </w:pPr>
          </w:p>
        </w:tc>
        <w:tc>
          <w:tcPr>
            <w:tcW w:w="2418" w:type="dxa"/>
            <w:vMerge w:val="continue"/>
            <w:tcBorders>
              <w:top w:val="nil"/>
              <w:bottom w:val="nil"/>
            </w:tcBorders>
            <w:vAlign w:val="top"/>
          </w:tcPr>
          <w:p w14:paraId="6242ADC5">
            <w:pPr>
              <w:rPr>
                <w:rFonts w:ascii="Arial"/>
                <w:sz w:val="21"/>
              </w:rPr>
            </w:pPr>
          </w:p>
        </w:tc>
        <w:tc>
          <w:tcPr>
            <w:tcW w:w="1258" w:type="dxa"/>
            <w:vMerge w:val="continue"/>
            <w:tcBorders>
              <w:top w:val="nil"/>
              <w:bottom w:val="nil"/>
            </w:tcBorders>
            <w:vAlign w:val="top"/>
          </w:tcPr>
          <w:p w14:paraId="0BFA3B10">
            <w:pPr>
              <w:rPr>
                <w:rFonts w:ascii="Arial"/>
                <w:sz w:val="21"/>
              </w:rPr>
            </w:pPr>
          </w:p>
        </w:tc>
        <w:tc>
          <w:tcPr>
            <w:tcW w:w="1903" w:type="dxa"/>
            <w:vMerge w:val="continue"/>
            <w:tcBorders>
              <w:top w:val="nil"/>
              <w:bottom w:val="nil"/>
            </w:tcBorders>
            <w:vAlign w:val="top"/>
          </w:tcPr>
          <w:p w14:paraId="2300B5F4">
            <w:pPr>
              <w:rPr>
                <w:rFonts w:ascii="Arial"/>
                <w:sz w:val="21"/>
              </w:rPr>
            </w:pPr>
          </w:p>
        </w:tc>
      </w:tr>
      <w:tr w14:paraId="7697E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20" w:type="dxa"/>
            <w:vMerge w:val="continue"/>
            <w:tcBorders>
              <w:top w:val="nil"/>
              <w:left w:val="single" w:color="000000" w:sz="8" w:space="0"/>
            </w:tcBorders>
            <w:vAlign w:val="top"/>
          </w:tcPr>
          <w:p w14:paraId="427614BE">
            <w:pPr>
              <w:rPr>
                <w:rFonts w:ascii="Arial"/>
                <w:sz w:val="21"/>
              </w:rPr>
            </w:pPr>
          </w:p>
        </w:tc>
        <w:tc>
          <w:tcPr>
            <w:tcW w:w="1448" w:type="dxa"/>
            <w:vMerge w:val="continue"/>
            <w:tcBorders>
              <w:top w:val="nil"/>
            </w:tcBorders>
            <w:vAlign w:val="top"/>
          </w:tcPr>
          <w:p w14:paraId="72F0BAED">
            <w:pPr>
              <w:rPr>
                <w:rFonts w:ascii="Arial"/>
                <w:sz w:val="21"/>
              </w:rPr>
            </w:pPr>
          </w:p>
        </w:tc>
        <w:tc>
          <w:tcPr>
            <w:tcW w:w="2418" w:type="dxa"/>
            <w:vMerge w:val="continue"/>
            <w:tcBorders>
              <w:top w:val="nil"/>
            </w:tcBorders>
            <w:vAlign w:val="top"/>
          </w:tcPr>
          <w:p w14:paraId="6D9B3453">
            <w:pPr>
              <w:rPr>
                <w:rFonts w:ascii="Arial"/>
                <w:sz w:val="21"/>
              </w:rPr>
            </w:pPr>
          </w:p>
        </w:tc>
        <w:tc>
          <w:tcPr>
            <w:tcW w:w="1258" w:type="dxa"/>
            <w:vMerge w:val="continue"/>
            <w:tcBorders>
              <w:top w:val="nil"/>
            </w:tcBorders>
            <w:vAlign w:val="top"/>
          </w:tcPr>
          <w:p w14:paraId="707A4EF4">
            <w:pPr>
              <w:rPr>
                <w:rFonts w:ascii="Arial"/>
                <w:sz w:val="21"/>
              </w:rPr>
            </w:pPr>
          </w:p>
        </w:tc>
        <w:tc>
          <w:tcPr>
            <w:tcW w:w="1903" w:type="dxa"/>
            <w:vMerge w:val="continue"/>
            <w:tcBorders>
              <w:top w:val="nil"/>
            </w:tcBorders>
            <w:vAlign w:val="top"/>
          </w:tcPr>
          <w:p w14:paraId="6EEB5BBB">
            <w:pPr>
              <w:rPr>
                <w:rFonts w:ascii="Arial"/>
                <w:sz w:val="21"/>
              </w:rPr>
            </w:pPr>
          </w:p>
        </w:tc>
      </w:tr>
      <w:tr w14:paraId="29811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27" w:hRule="atLeast"/>
        </w:trPr>
        <w:tc>
          <w:tcPr>
            <w:tcW w:w="820" w:type="dxa"/>
            <w:tcBorders>
              <w:left w:val="single" w:color="000000" w:sz="8" w:space="0"/>
            </w:tcBorders>
            <w:vAlign w:val="center"/>
          </w:tcPr>
          <w:p w14:paraId="760BC0F8">
            <w:pPr>
              <w:pStyle w:val="41"/>
              <w:spacing w:before="56" w:line="189" w:lineRule="auto"/>
              <w:jc w:val="center"/>
              <w:rPr>
                <w:rFonts w:hint="eastAsia" w:eastAsia="宋体"/>
                <w:sz w:val="21"/>
                <w:szCs w:val="21"/>
                <w:lang w:val="en-US" w:eastAsia="zh-CN"/>
              </w:rPr>
            </w:pPr>
            <w:r>
              <w:rPr>
                <w:rFonts w:hint="eastAsia"/>
                <w:sz w:val="21"/>
                <w:szCs w:val="21"/>
                <w:lang w:val="en-US" w:eastAsia="zh-CN"/>
              </w:rPr>
              <w:t>1</w:t>
            </w:r>
          </w:p>
        </w:tc>
        <w:tc>
          <w:tcPr>
            <w:tcW w:w="1448" w:type="dxa"/>
            <w:vAlign w:val="center"/>
          </w:tcPr>
          <w:p w14:paraId="5A71529F">
            <w:pPr>
              <w:pStyle w:val="41"/>
              <w:spacing w:before="55" w:line="230" w:lineRule="auto"/>
              <w:ind w:left="43"/>
              <w:jc w:val="center"/>
              <w:rPr>
                <w:rFonts w:hint="default" w:eastAsia="宋体"/>
                <w:sz w:val="21"/>
                <w:szCs w:val="21"/>
                <w:lang w:val="en-US" w:eastAsia="zh-CN"/>
              </w:rPr>
            </w:pPr>
            <w:r>
              <w:rPr>
                <w:rFonts w:hint="eastAsia"/>
                <w:sz w:val="21"/>
                <w:szCs w:val="21"/>
                <w:lang w:val="en-US" w:eastAsia="zh-CN"/>
              </w:rPr>
              <w:t>墙面扣板</w:t>
            </w:r>
          </w:p>
        </w:tc>
        <w:tc>
          <w:tcPr>
            <w:tcW w:w="2418" w:type="dxa"/>
            <w:vAlign w:val="top"/>
          </w:tcPr>
          <w:p w14:paraId="64939F0F">
            <w:pPr>
              <w:pStyle w:val="41"/>
              <w:spacing w:before="175" w:line="197" w:lineRule="auto"/>
              <w:ind w:left="24" w:right="24" w:firstLine="12"/>
              <w:rPr>
                <w:rFonts w:hint="default" w:eastAsia="宋体"/>
                <w:sz w:val="21"/>
                <w:szCs w:val="21"/>
                <w:lang w:val="en-US" w:eastAsia="zh-CN"/>
              </w:rPr>
            </w:pPr>
            <w:r>
              <w:rPr>
                <w:spacing w:val="5"/>
                <w:sz w:val="21"/>
                <w:szCs w:val="21"/>
              </w:rPr>
              <w:t>1.材料品种、</w:t>
            </w:r>
            <w:r>
              <w:rPr>
                <w:spacing w:val="4"/>
                <w:sz w:val="21"/>
                <w:szCs w:val="21"/>
              </w:rPr>
              <w:t xml:space="preserve"> </w:t>
            </w:r>
            <w:r>
              <w:rPr>
                <w:spacing w:val="5"/>
                <w:sz w:val="21"/>
                <w:szCs w:val="21"/>
              </w:rPr>
              <w:t>规格</w:t>
            </w:r>
            <w:r>
              <w:rPr>
                <w:spacing w:val="-43"/>
                <w:sz w:val="21"/>
                <w:szCs w:val="21"/>
              </w:rPr>
              <w:t xml:space="preserve"> </w:t>
            </w:r>
            <w:r>
              <w:rPr>
                <w:spacing w:val="5"/>
                <w:sz w:val="21"/>
                <w:szCs w:val="21"/>
              </w:rPr>
              <w:t>:</w:t>
            </w:r>
            <w:r>
              <w:rPr>
                <w:rFonts w:hint="eastAsia"/>
                <w:spacing w:val="5"/>
                <w:sz w:val="21"/>
                <w:szCs w:val="21"/>
                <w:lang w:val="en-US" w:eastAsia="zh-CN"/>
              </w:rPr>
              <w:t>竹微纤维扣板</w:t>
            </w:r>
          </w:p>
        </w:tc>
        <w:tc>
          <w:tcPr>
            <w:tcW w:w="1258" w:type="dxa"/>
            <w:vAlign w:val="center"/>
          </w:tcPr>
          <w:p w14:paraId="28CF1684">
            <w:pPr>
              <w:pStyle w:val="41"/>
              <w:spacing w:before="56" w:line="188" w:lineRule="auto"/>
              <w:jc w:val="center"/>
              <w:rPr>
                <w:rFonts w:hint="eastAsia" w:eastAsia="宋体"/>
                <w:sz w:val="21"/>
                <w:szCs w:val="21"/>
                <w:lang w:eastAsia="zh-CN"/>
              </w:rPr>
            </w:pPr>
            <w:r>
              <w:rPr>
                <w:rFonts w:hint="eastAsia"/>
                <w:spacing w:val="7"/>
                <w:sz w:val="21"/>
                <w:szCs w:val="21"/>
                <w:lang w:val="en-US" w:eastAsia="zh-CN"/>
              </w:rPr>
              <w:t>㎡</w:t>
            </w:r>
          </w:p>
        </w:tc>
        <w:tc>
          <w:tcPr>
            <w:tcW w:w="1903" w:type="dxa"/>
            <w:vAlign w:val="center"/>
          </w:tcPr>
          <w:p w14:paraId="386808A3">
            <w:pPr>
              <w:pStyle w:val="41"/>
              <w:spacing w:before="56" w:line="188" w:lineRule="auto"/>
              <w:ind w:right="10"/>
              <w:jc w:val="center"/>
              <w:rPr>
                <w:rFonts w:hint="default" w:eastAsia="宋体"/>
                <w:sz w:val="21"/>
                <w:szCs w:val="21"/>
                <w:lang w:val="en-US" w:eastAsia="zh-CN"/>
              </w:rPr>
            </w:pPr>
            <w:r>
              <w:rPr>
                <w:rFonts w:hint="eastAsia"/>
                <w:sz w:val="21"/>
                <w:szCs w:val="21"/>
                <w:lang w:val="en-US" w:eastAsia="zh-CN"/>
              </w:rPr>
              <w:t>95</w:t>
            </w:r>
          </w:p>
        </w:tc>
      </w:tr>
      <w:tr w14:paraId="3AC05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7" w:hRule="atLeast"/>
        </w:trPr>
        <w:tc>
          <w:tcPr>
            <w:tcW w:w="820" w:type="dxa"/>
            <w:tcBorders>
              <w:left w:val="single" w:color="000000" w:sz="8" w:space="0"/>
            </w:tcBorders>
            <w:vAlign w:val="center"/>
          </w:tcPr>
          <w:p w14:paraId="4FB7720E">
            <w:pPr>
              <w:pStyle w:val="41"/>
              <w:spacing w:before="56" w:line="189"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448" w:type="dxa"/>
            <w:vAlign w:val="center"/>
          </w:tcPr>
          <w:p w14:paraId="2744DC4D">
            <w:pPr>
              <w:pStyle w:val="41"/>
              <w:spacing w:before="55" w:line="230" w:lineRule="auto"/>
              <w:jc w:val="center"/>
              <w:rPr>
                <w:rFonts w:hint="eastAsia" w:eastAsia="宋体"/>
                <w:sz w:val="21"/>
                <w:szCs w:val="21"/>
                <w:lang w:val="en-US" w:eastAsia="zh-CN"/>
              </w:rPr>
            </w:pPr>
            <w:r>
              <w:rPr>
                <w:rFonts w:hint="eastAsia"/>
                <w:sz w:val="21"/>
                <w:szCs w:val="21"/>
                <w:lang w:val="en-US" w:eastAsia="zh-CN"/>
              </w:rPr>
              <w:t>地板砖</w:t>
            </w:r>
          </w:p>
        </w:tc>
        <w:tc>
          <w:tcPr>
            <w:tcW w:w="2418" w:type="dxa"/>
            <w:vAlign w:val="top"/>
          </w:tcPr>
          <w:p w14:paraId="49065725">
            <w:pPr>
              <w:pStyle w:val="41"/>
              <w:spacing w:before="260" w:line="204" w:lineRule="auto"/>
              <w:ind w:left="24" w:right="50" w:firstLine="12"/>
              <w:jc w:val="both"/>
              <w:rPr>
                <w:rFonts w:hint="default" w:eastAsia="宋体"/>
                <w:sz w:val="21"/>
                <w:szCs w:val="21"/>
                <w:lang w:val="en-US" w:eastAsia="zh-CN"/>
              </w:rPr>
            </w:pPr>
            <w:r>
              <w:rPr>
                <w:spacing w:val="5"/>
                <w:sz w:val="21"/>
                <w:szCs w:val="21"/>
              </w:rPr>
              <w:t>1.</w:t>
            </w:r>
            <w:r>
              <w:rPr>
                <w:rFonts w:hint="eastAsia"/>
                <w:spacing w:val="5"/>
                <w:sz w:val="21"/>
                <w:szCs w:val="21"/>
                <w:lang w:val="en-US" w:eastAsia="zh-CN"/>
              </w:rPr>
              <w:t>材料</w:t>
            </w:r>
            <w:r>
              <w:rPr>
                <w:spacing w:val="5"/>
                <w:sz w:val="21"/>
                <w:szCs w:val="21"/>
              </w:rPr>
              <w:t>规格</w:t>
            </w:r>
            <w:r>
              <w:rPr>
                <w:spacing w:val="-48"/>
                <w:sz w:val="21"/>
                <w:szCs w:val="21"/>
              </w:rPr>
              <w:t xml:space="preserve"> </w:t>
            </w:r>
            <w:r>
              <w:rPr>
                <w:spacing w:val="5"/>
                <w:sz w:val="21"/>
                <w:szCs w:val="21"/>
              </w:rPr>
              <w:t>:</w:t>
            </w:r>
            <w:r>
              <w:rPr>
                <w:rFonts w:hint="eastAsia"/>
                <w:spacing w:val="5"/>
                <w:sz w:val="21"/>
                <w:szCs w:val="21"/>
                <w:lang w:val="en-US" w:eastAsia="zh-CN"/>
              </w:rPr>
              <w:t>全瓷800mm*800mm</w:t>
            </w:r>
          </w:p>
        </w:tc>
        <w:tc>
          <w:tcPr>
            <w:tcW w:w="1258" w:type="dxa"/>
            <w:vAlign w:val="center"/>
          </w:tcPr>
          <w:p w14:paraId="688A0E88">
            <w:pPr>
              <w:pStyle w:val="41"/>
              <w:spacing w:before="56" w:line="188" w:lineRule="auto"/>
              <w:jc w:val="center"/>
              <w:rPr>
                <w:rFonts w:hint="eastAsia" w:ascii="宋体" w:hAnsi="宋体" w:eastAsia="宋体" w:cs="宋体"/>
                <w:spacing w:val="7"/>
                <w:sz w:val="21"/>
                <w:szCs w:val="21"/>
                <w:lang w:val="en-US" w:eastAsia="zh-CN"/>
              </w:rPr>
            </w:pPr>
            <w:r>
              <w:rPr>
                <w:rFonts w:hint="eastAsia"/>
                <w:spacing w:val="7"/>
                <w:sz w:val="21"/>
                <w:szCs w:val="21"/>
                <w:lang w:val="en-US" w:eastAsia="zh-CN"/>
              </w:rPr>
              <w:t>㎡</w:t>
            </w:r>
          </w:p>
        </w:tc>
        <w:tc>
          <w:tcPr>
            <w:tcW w:w="1903" w:type="dxa"/>
            <w:vAlign w:val="center"/>
          </w:tcPr>
          <w:p w14:paraId="0BD26725">
            <w:pPr>
              <w:pStyle w:val="41"/>
              <w:spacing w:before="56" w:line="189" w:lineRule="auto"/>
              <w:ind w:right="10"/>
              <w:jc w:val="center"/>
              <w:rPr>
                <w:rFonts w:hint="default" w:eastAsia="宋体"/>
                <w:sz w:val="21"/>
                <w:szCs w:val="21"/>
                <w:lang w:val="en-US" w:eastAsia="zh-CN"/>
              </w:rPr>
            </w:pPr>
            <w:r>
              <w:rPr>
                <w:rFonts w:hint="eastAsia"/>
                <w:sz w:val="21"/>
                <w:szCs w:val="21"/>
                <w:lang w:val="en-US" w:eastAsia="zh-CN"/>
              </w:rPr>
              <w:t>28</w:t>
            </w:r>
          </w:p>
        </w:tc>
      </w:tr>
      <w:tr w14:paraId="115C8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820" w:type="dxa"/>
            <w:tcBorders>
              <w:left w:val="single" w:color="000000" w:sz="8" w:space="0"/>
            </w:tcBorders>
            <w:vAlign w:val="center"/>
          </w:tcPr>
          <w:p w14:paraId="3BB7E1F7">
            <w:pPr>
              <w:pStyle w:val="41"/>
              <w:spacing w:before="56" w:line="189"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448" w:type="dxa"/>
            <w:vAlign w:val="center"/>
          </w:tcPr>
          <w:p w14:paraId="4DAD1AB5">
            <w:pPr>
              <w:pStyle w:val="41"/>
              <w:spacing w:before="56" w:line="230" w:lineRule="auto"/>
              <w:ind w:left="22"/>
              <w:jc w:val="center"/>
              <w:rPr>
                <w:rFonts w:hint="eastAsia" w:eastAsia="宋体"/>
                <w:sz w:val="21"/>
                <w:szCs w:val="21"/>
                <w:lang w:eastAsia="zh-CN"/>
              </w:rPr>
            </w:pPr>
            <w:r>
              <w:rPr>
                <w:rFonts w:hint="eastAsia"/>
                <w:spacing w:val="8"/>
                <w:sz w:val="21"/>
                <w:szCs w:val="21"/>
                <w:lang w:val="en-US" w:eastAsia="zh-CN"/>
              </w:rPr>
              <w:t>踢脚线</w:t>
            </w:r>
          </w:p>
        </w:tc>
        <w:tc>
          <w:tcPr>
            <w:tcW w:w="2418" w:type="dxa"/>
            <w:vAlign w:val="center"/>
          </w:tcPr>
          <w:p w14:paraId="3CBF36E0">
            <w:pPr>
              <w:pStyle w:val="41"/>
              <w:spacing w:before="290" w:line="202" w:lineRule="auto"/>
              <w:ind w:right="19"/>
              <w:jc w:val="center"/>
              <w:rPr>
                <w:rFonts w:hint="default" w:eastAsia="宋体"/>
                <w:sz w:val="21"/>
                <w:szCs w:val="21"/>
                <w:lang w:val="en-US" w:eastAsia="zh-CN"/>
              </w:rPr>
            </w:pPr>
            <w:r>
              <w:rPr>
                <w:rFonts w:hint="eastAsia"/>
                <w:sz w:val="21"/>
                <w:szCs w:val="21"/>
                <w:lang w:val="en-US" w:eastAsia="zh-CN"/>
              </w:rPr>
              <w:t>1.材料规格：全瓷踢脚线</w:t>
            </w:r>
          </w:p>
        </w:tc>
        <w:tc>
          <w:tcPr>
            <w:tcW w:w="1258" w:type="dxa"/>
            <w:vAlign w:val="center"/>
          </w:tcPr>
          <w:p w14:paraId="7B0C1FFC">
            <w:pPr>
              <w:pStyle w:val="41"/>
              <w:spacing w:before="56" w:line="188" w:lineRule="auto"/>
              <w:jc w:val="center"/>
              <w:rPr>
                <w:rFonts w:hint="eastAsia" w:ascii="宋体" w:hAnsi="宋体" w:eastAsia="宋体" w:cs="宋体"/>
                <w:spacing w:val="7"/>
                <w:sz w:val="21"/>
                <w:szCs w:val="21"/>
                <w:lang w:val="en-US" w:eastAsia="zh-CN"/>
              </w:rPr>
            </w:pPr>
            <w:r>
              <w:rPr>
                <w:rFonts w:hint="eastAsia" w:cs="宋体"/>
                <w:spacing w:val="7"/>
                <w:sz w:val="21"/>
                <w:szCs w:val="21"/>
                <w:lang w:val="en-US" w:eastAsia="zh-CN"/>
              </w:rPr>
              <w:t>m</w:t>
            </w:r>
          </w:p>
        </w:tc>
        <w:tc>
          <w:tcPr>
            <w:tcW w:w="1903" w:type="dxa"/>
            <w:vAlign w:val="center"/>
          </w:tcPr>
          <w:p w14:paraId="5DFDC675">
            <w:pPr>
              <w:pStyle w:val="41"/>
              <w:spacing w:before="55" w:line="189" w:lineRule="auto"/>
              <w:ind w:right="8"/>
              <w:jc w:val="center"/>
              <w:rPr>
                <w:rFonts w:hint="default" w:eastAsia="宋体"/>
                <w:sz w:val="21"/>
                <w:szCs w:val="21"/>
                <w:lang w:val="en-US" w:eastAsia="zh-CN"/>
              </w:rPr>
            </w:pPr>
            <w:r>
              <w:rPr>
                <w:rFonts w:hint="eastAsia"/>
                <w:sz w:val="21"/>
                <w:szCs w:val="21"/>
                <w:lang w:val="en-US" w:eastAsia="zh-CN"/>
              </w:rPr>
              <w:t>23</w:t>
            </w:r>
          </w:p>
        </w:tc>
      </w:tr>
      <w:tr w14:paraId="342BF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820" w:type="dxa"/>
            <w:tcBorders>
              <w:left w:val="single" w:color="000000" w:sz="8" w:space="0"/>
            </w:tcBorders>
            <w:vAlign w:val="center"/>
          </w:tcPr>
          <w:p w14:paraId="0C80EFEB">
            <w:pPr>
              <w:pStyle w:val="41"/>
              <w:spacing w:before="56" w:line="189"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448" w:type="dxa"/>
            <w:vAlign w:val="center"/>
          </w:tcPr>
          <w:p w14:paraId="615B0F1A">
            <w:pPr>
              <w:pStyle w:val="41"/>
              <w:spacing w:before="169" w:line="230" w:lineRule="auto"/>
              <w:ind w:left="20"/>
              <w:jc w:val="center"/>
              <w:rPr>
                <w:rFonts w:hint="default" w:eastAsia="宋体"/>
                <w:sz w:val="21"/>
                <w:szCs w:val="21"/>
                <w:lang w:val="en-US" w:eastAsia="zh-CN"/>
              </w:rPr>
            </w:pPr>
            <w:r>
              <w:rPr>
                <w:rFonts w:hint="eastAsia"/>
                <w:spacing w:val="9"/>
                <w:sz w:val="21"/>
                <w:szCs w:val="21"/>
                <w:lang w:val="en-US" w:eastAsia="zh-CN"/>
              </w:rPr>
              <w:t>水电线路改造</w:t>
            </w:r>
          </w:p>
        </w:tc>
        <w:tc>
          <w:tcPr>
            <w:tcW w:w="2418" w:type="dxa"/>
            <w:vAlign w:val="center"/>
          </w:tcPr>
          <w:p w14:paraId="09F689E7">
            <w:pPr>
              <w:pStyle w:val="41"/>
              <w:spacing w:before="84" w:line="197" w:lineRule="auto"/>
              <w:ind w:left="37"/>
              <w:jc w:val="center"/>
              <w:rPr>
                <w:rFonts w:hint="default" w:eastAsia="宋体"/>
                <w:sz w:val="21"/>
                <w:szCs w:val="21"/>
                <w:lang w:val="en-US" w:eastAsia="zh-CN"/>
              </w:rPr>
            </w:pPr>
            <w:r>
              <w:rPr>
                <w:rFonts w:hint="eastAsia"/>
                <w:sz w:val="21"/>
                <w:szCs w:val="21"/>
                <w:lang w:val="en-US" w:eastAsia="zh-CN"/>
              </w:rPr>
              <w:t>1.材料规格：PPR水管、铜线</w:t>
            </w:r>
          </w:p>
        </w:tc>
        <w:tc>
          <w:tcPr>
            <w:tcW w:w="1258" w:type="dxa"/>
            <w:vAlign w:val="center"/>
          </w:tcPr>
          <w:p w14:paraId="1D11707C">
            <w:pPr>
              <w:pStyle w:val="41"/>
              <w:spacing w:before="56" w:line="188" w:lineRule="auto"/>
              <w:jc w:val="center"/>
              <w:rPr>
                <w:rFonts w:hint="default" w:ascii="宋体" w:hAnsi="宋体" w:eastAsia="宋体" w:cs="宋体"/>
                <w:spacing w:val="7"/>
                <w:sz w:val="21"/>
                <w:szCs w:val="21"/>
                <w:lang w:val="en-US" w:eastAsia="zh-CN"/>
              </w:rPr>
            </w:pPr>
            <w:r>
              <w:rPr>
                <w:rFonts w:hint="eastAsia" w:cs="宋体"/>
                <w:spacing w:val="7"/>
                <w:sz w:val="21"/>
                <w:szCs w:val="21"/>
                <w:lang w:val="en-US" w:eastAsia="zh-CN"/>
              </w:rPr>
              <w:t>m</w:t>
            </w:r>
          </w:p>
        </w:tc>
        <w:tc>
          <w:tcPr>
            <w:tcW w:w="1903" w:type="dxa"/>
            <w:vAlign w:val="center"/>
          </w:tcPr>
          <w:p w14:paraId="51720090">
            <w:pPr>
              <w:pStyle w:val="41"/>
              <w:spacing w:before="201" w:line="187" w:lineRule="auto"/>
              <w:ind w:right="10"/>
              <w:jc w:val="center"/>
              <w:rPr>
                <w:rFonts w:hint="default" w:eastAsia="宋体"/>
                <w:sz w:val="21"/>
                <w:szCs w:val="21"/>
                <w:lang w:val="en-US" w:eastAsia="zh-CN"/>
              </w:rPr>
            </w:pPr>
            <w:r>
              <w:rPr>
                <w:rFonts w:hint="eastAsia"/>
                <w:sz w:val="21"/>
                <w:szCs w:val="21"/>
                <w:lang w:val="en-US" w:eastAsia="zh-CN"/>
              </w:rPr>
              <w:t>水管32、铜线25</w:t>
            </w:r>
          </w:p>
        </w:tc>
      </w:tr>
      <w:tr w14:paraId="00001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820" w:type="dxa"/>
            <w:tcBorders>
              <w:left w:val="single" w:color="000000" w:sz="8" w:space="0"/>
            </w:tcBorders>
            <w:vAlign w:val="center"/>
          </w:tcPr>
          <w:p w14:paraId="6594A549">
            <w:pPr>
              <w:pStyle w:val="41"/>
              <w:spacing w:before="56" w:line="189" w:lineRule="auto"/>
              <w:jc w:val="center"/>
              <w:rPr>
                <w:rFonts w:hint="eastAsia" w:ascii="宋体" w:hAnsi="宋体" w:eastAsia="宋体" w:cs="宋体"/>
                <w:sz w:val="21"/>
                <w:szCs w:val="21"/>
                <w:lang w:val="en-US" w:eastAsia="zh-CN"/>
              </w:rPr>
            </w:pPr>
            <w:r>
              <w:rPr>
                <w:rFonts w:hint="eastAsia" w:cs="宋体"/>
                <w:sz w:val="21"/>
                <w:szCs w:val="21"/>
                <w:lang w:val="en-US" w:eastAsia="zh-CN"/>
              </w:rPr>
              <w:t>5</w:t>
            </w:r>
          </w:p>
        </w:tc>
        <w:tc>
          <w:tcPr>
            <w:tcW w:w="1448" w:type="dxa"/>
            <w:vAlign w:val="center"/>
          </w:tcPr>
          <w:p w14:paraId="2E82ADF1">
            <w:pPr>
              <w:pStyle w:val="41"/>
              <w:spacing w:before="169" w:line="230" w:lineRule="auto"/>
              <w:ind w:left="20" w:leftChars="0"/>
              <w:jc w:val="center"/>
              <w:rPr>
                <w:rFonts w:hint="eastAsia"/>
                <w:spacing w:val="9"/>
                <w:sz w:val="21"/>
                <w:szCs w:val="21"/>
                <w:lang w:val="en-US" w:eastAsia="zh-CN"/>
              </w:rPr>
            </w:pPr>
            <w:r>
              <w:rPr>
                <w:rFonts w:hint="eastAsia"/>
                <w:spacing w:val="9"/>
                <w:sz w:val="21"/>
                <w:szCs w:val="21"/>
                <w:lang w:val="en-US" w:eastAsia="zh-CN"/>
              </w:rPr>
              <w:t>外墙漆</w:t>
            </w:r>
          </w:p>
        </w:tc>
        <w:tc>
          <w:tcPr>
            <w:tcW w:w="2418" w:type="dxa"/>
            <w:vAlign w:val="center"/>
          </w:tcPr>
          <w:p w14:paraId="67624B17">
            <w:pPr>
              <w:pStyle w:val="41"/>
              <w:spacing w:before="84" w:line="197" w:lineRule="auto"/>
              <w:ind w:left="37" w:leftChars="0"/>
              <w:jc w:val="center"/>
              <w:rPr>
                <w:rFonts w:hint="eastAsia"/>
                <w:sz w:val="21"/>
                <w:szCs w:val="21"/>
                <w:lang w:val="en-US" w:eastAsia="zh-CN"/>
              </w:rPr>
            </w:pPr>
            <w:r>
              <w:rPr>
                <w:rFonts w:hint="eastAsia"/>
                <w:sz w:val="21"/>
                <w:szCs w:val="21"/>
                <w:lang w:val="en-US" w:eastAsia="zh-CN"/>
              </w:rPr>
              <w:t>1.材料规格：米白色涂料</w:t>
            </w:r>
          </w:p>
        </w:tc>
        <w:tc>
          <w:tcPr>
            <w:tcW w:w="1258" w:type="dxa"/>
            <w:vAlign w:val="center"/>
          </w:tcPr>
          <w:p w14:paraId="210654B5">
            <w:pPr>
              <w:pStyle w:val="41"/>
              <w:spacing w:before="56" w:line="188" w:lineRule="auto"/>
              <w:jc w:val="center"/>
              <w:rPr>
                <w:rFonts w:hint="eastAsia" w:cs="宋体"/>
                <w:spacing w:val="7"/>
                <w:sz w:val="21"/>
                <w:szCs w:val="21"/>
                <w:lang w:val="en-US" w:eastAsia="zh-CN"/>
              </w:rPr>
            </w:pPr>
            <w:r>
              <w:rPr>
                <w:rFonts w:hint="eastAsia" w:cs="宋体"/>
                <w:spacing w:val="7"/>
                <w:sz w:val="21"/>
                <w:szCs w:val="21"/>
                <w:lang w:val="en-US" w:eastAsia="zh-CN"/>
              </w:rPr>
              <w:t>㎡</w:t>
            </w:r>
          </w:p>
        </w:tc>
        <w:tc>
          <w:tcPr>
            <w:tcW w:w="1903" w:type="dxa"/>
            <w:vAlign w:val="center"/>
          </w:tcPr>
          <w:p w14:paraId="2AF92F42">
            <w:pPr>
              <w:pStyle w:val="41"/>
              <w:spacing w:before="201" w:line="187" w:lineRule="auto"/>
              <w:ind w:right="10" w:rightChars="0"/>
              <w:jc w:val="center"/>
              <w:rPr>
                <w:rFonts w:hint="eastAsia"/>
                <w:sz w:val="21"/>
                <w:szCs w:val="21"/>
                <w:lang w:val="en-US" w:eastAsia="zh-CN"/>
              </w:rPr>
            </w:pPr>
            <w:r>
              <w:rPr>
                <w:rFonts w:hint="eastAsia"/>
                <w:sz w:val="21"/>
                <w:szCs w:val="21"/>
                <w:lang w:val="en-US" w:eastAsia="zh-CN"/>
              </w:rPr>
              <w:t>51</w:t>
            </w:r>
          </w:p>
        </w:tc>
      </w:tr>
    </w:tbl>
    <w:p w14:paraId="1AB33925">
      <w:pPr>
        <w:pStyle w:val="19"/>
        <w:ind w:left="0" w:leftChars="0" w:firstLine="0" w:firstLineChars="0"/>
        <w:rPr>
          <w:rFonts w:hint="eastAsia" w:cs="Times New Roman"/>
          <w:b/>
          <w:bCs w:val="0"/>
          <w:sz w:val="36"/>
          <w:szCs w:val="36"/>
          <w:lang w:val="en-US" w:eastAsia="zh-CN"/>
        </w:rPr>
      </w:pPr>
      <w:r>
        <w:rPr>
          <w:rFonts w:hint="eastAsia" w:cs="Times New Roman"/>
          <w:b/>
          <w:bCs w:val="0"/>
          <w:sz w:val="36"/>
          <w:szCs w:val="36"/>
          <w:lang w:val="en-US" w:eastAsia="zh-CN"/>
        </w:rPr>
        <w:t>质保期：</w:t>
      </w:r>
    </w:p>
    <w:p w14:paraId="56E135EA">
      <w:pPr>
        <w:pStyle w:val="6"/>
        <w:ind w:left="0" w:leftChars="0" w:firstLine="640" w:firstLineChars="200"/>
        <w:rPr>
          <w:rFonts w:hint="eastAsia"/>
          <w:b/>
          <w:sz w:val="36"/>
          <w:szCs w:val="36"/>
        </w:rPr>
      </w:pPr>
      <w:r>
        <w:rPr>
          <w:rFonts w:hint="eastAsia" w:ascii="Times New Roman" w:hAnsi="Times New Roman" w:eastAsia="宋体" w:cs="Times New Roman"/>
          <w:b w:val="0"/>
          <w:bCs/>
          <w:kern w:val="2"/>
          <w:sz w:val="32"/>
          <w:szCs w:val="32"/>
          <w:lang w:val="en-US" w:eastAsia="zh-CN" w:bidi="ar-SA"/>
        </w:rPr>
        <w:t>售后质保</w:t>
      </w:r>
      <w:r>
        <w:rPr>
          <w:rFonts w:hint="eastAsia" w:ascii="Times New Roman" w:hAnsi="Times New Roman" w:cs="Times New Roman"/>
          <w:b w:val="0"/>
          <w:bCs/>
          <w:kern w:val="2"/>
          <w:sz w:val="32"/>
          <w:szCs w:val="32"/>
          <w:lang w:val="en-US" w:eastAsia="zh-CN" w:bidi="ar-SA"/>
        </w:rPr>
        <w:t>期限</w:t>
      </w:r>
      <w:r>
        <w:rPr>
          <w:rFonts w:hint="eastAsia" w:ascii="Times New Roman" w:hAnsi="Times New Roman" w:eastAsia="宋体" w:cs="Times New Roman"/>
          <w:b w:val="0"/>
          <w:bCs/>
          <w:kern w:val="2"/>
          <w:sz w:val="32"/>
          <w:szCs w:val="32"/>
          <w:lang w:val="en-US" w:eastAsia="zh-CN" w:bidi="ar-SA"/>
        </w:rPr>
        <w:t>最低一年，质保期内如果出现任何质量问题，施工方给予免费维修或更换材料。</w:t>
      </w:r>
    </w:p>
    <w:p w14:paraId="70229BD8">
      <w:pPr>
        <w:pStyle w:val="6"/>
        <w:numPr>
          <w:ilvl w:val="0"/>
          <w:numId w:val="0"/>
        </w:numPr>
        <w:rPr>
          <w:rFonts w:hint="default" w:ascii="Times New Roman" w:hAnsi="Times New Roman" w:cs="Times New Roman"/>
          <w:b w:val="0"/>
          <w:bCs/>
          <w:kern w:val="2"/>
          <w:sz w:val="32"/>
          <w:szCs w:val="32"/>
          <w:lang w:val="en-US" w:eastAsia="zh-CN" w:bidi="ar-SA"/>
        </w:rPr>
      </w:pPr>
    </w:p>
    <w:p w14:paraId="40461D79">
      <w:pPr>
        <w:pStyle w:val="6"/>
        <w:ind w:left="0" w:leftChars="0" w:firstLine="0" w:firstLineChars="0"/>
        <w:rPr>
          <w:b/>
          <w:sz w:val="36"/>
          <w:szCs w:val="36"/>
        </w:rPr>
      </w:pPr>
    </w:p>
    <w:p w14:paraId="2A6A89E7">
      <w:pPr>
        <w:adjustRightInd w:val="0"/>
        <w:snapToGrid w:val="0"/>
        <w:spacing w:line="500" w:lineRule="exact"/>
        <w:jc w:val="both"/>
        <w:rPr>
          <w:rFonts w:hint="eastAsia"/>
          <w:b/>
          <w:sz w:val="36"/>
          <w:szCs w:val="36"/>
        </w:rPr>
      </w:pPr>
    </w:p>
    <w:p w14:paraId="1A18E213">
      <w:pPr>
        <w:adjustRightInd w:val="0"/>
        <w:snapToGrid w:val="0"/>
        <w:spacing w:line="500" w:lineRule="exact"/>
        <w:jc w:val="center"/>
        <w:rPr>
          <w:rFonts w:hint="eastAsia"/>
          <w:b/>
          <w:sz w:val="36"/>
          <w:szCs w:val="36"/>
        </w:rPr>
      </w:pPr>
    </w:p>
    <w:p w14:paraId="3BC7C607">
      <w:pPr>
        <w:adjustRightInd w:val="0"/>
        <w:snapToGrid w:val="0"/>
        <w:spacing w:line="500" w:lineRule="exact"/>
        <w:jc w:val="center"/>
        <w:rPr>
          <w:rFonts w:hint="eastAsia"/>
          <w:b/>
          <w:sz w:val="36"/>
          <w:szCs w:val="36"/>
        </w:rPr>
      </w:pPr>
    </w:p>
    <w:p w14:paraId="0A08948E">
      <w:pPr>
        <w:adjustRightInd w:val="0"/>
        <w:snapToGrid w:val="0"/>
        <w:spacing w:line="500" w:lineRule="exact"/>
        <w:jc w:val="center"/>
        <w:rPr>
          <w:rFonts w:hint="eastAsia"/>
          <w:b/>
          <w:sz w:val="36"/>
          <w:szCs w:val="36"/>
        </w:rPr>
      </w:pPr>
    </w:p>
    <w:p w14:paraId="4FE123D7">
      <w:pPr>
        <w:adjustRightInd w:val="0"/>
        <w:snapToGrid w:val="0"/>
        <w:spacing w:line="500" w:lineRule="exact"/>
        <w:jc w:val="center"/>
        <w:rPr>
          <w:rFonts w:hint="eastAsia"/>
          <w:b/>
          <w:sz w:val="36"/>
          <w:szCs w:val="36"/>
        </w:rPr>
      </w:pPr>
    </w:p>
    <w:p w14:paraId="48350823">
      <w:pPr>
        <w:adjustRightInd w:val="0"/>
        <w:snapToGrid w:val="0"/>
        <w:spacing w:line="500" w:lineRule="exact"/>
        <w:jc w:val="center"/>
        <w:rPr>
          <w:rFonts w:hint="eastAsia"/>
          <w:b/>
          <w:sz w:val="36"/>
          <w:szCs w:val="36"/>
        </w:rPr>
      </w:pPr>
    </w:p>
    <w:p w14:paraId="7A0F459C">
      <w:pPr>
        <w:adjustRightInd w:val="0"/>
        <w:snapToGrid w:val="0"/>
        <w:spacing w:line="500" w:lineRule="exact"/>
        <w:jc w:val="center"/>
        <w:rPr>
          <w:rFonts w:hint="eastAsia"/>
          <w:b/>
          <w:sz w:val="36"/>
          <w:szCs w:val="36"/>
        </w:rPr>
      </w:pPr>
    </w:p>
    <w:p w14:paraId="5447DE9C">
      <w:pPr>
        <w:adjustRightInd w:val="0"/>
        <w:snapToGrid w:val="0"/>
        <w:spacing w:line="500" w:lineRule="exact"/>
        <w:jc w:val="center"/>
        <w:rPr>
          <w:rFonts w:hint="eastAsia"/>
          <w:b/>
          <w:sz w:val="36"/>
          <w:szCs w:val="36"/>
        </w:rPr>
      </w:pPr>
    </w:p>
    <w:p w14:paraId="0FFBDDD2">
      <w:pPr>
        <w:adjustRightInd w:val="0"/>
        <w:snapToGrid w:val="0"/>
        <w:spacing w:line="500" w:lineRule="exact"/>
        <w:jc w:val="center"/>
        <w:rPr>
          <w:rFonts w:hint="eastAsia"/>
          <w:b/>
          <w:sz w:val="36"/>
          <w:szCs w:val="36"/>
        </w:rPr>
      </w:pPr>
    </w:p>
    <w:p w14:paraId="0199BCFE">
      <w:pPr>
        <w:adjustRightInd w:val="0"/>
        <w:snapToGrid w:val="0"/>
        <w:spacing w:line="500" w:lineRule="exact"/>
        <w:jc w:val="center"/>
        <w:rPr>
          <w:rFonts w:hint="eastAsia"/>
          <w:b/>
          <w:sz w:val="36"/>
          <w:szCs w:val="36"/>
        </w:rPr>
      </w:pPr>
    </w:p>
    <w:p w14:paraId="4B9396E4">
      <w:pPr>
        <w:adjustRightInd w:val="0"/>
        <w:snapToGrid w:val="0"/>
        <w:spacing w:line="500" w:lineRule="exact"/>
        <w:jc w:val="center"/>
        <w:rPr>
          <w:rFonts w:hint="eastAsia"/>
          <w:b/>
          <w:sz w:val="36"/>
          <w:szCs w:val="36"/>
        </w:rPr>
      </w:pPr>
    </w:p>
    <w:p w14:paraId="6F66CC45">
      <w:pPr>
        <w:adjustRightInd w:val="0"/>
        <w:snapToGrid w:val="0"/>
        <w:spacing w:line="500" w:lineRule="exact"/>
        <w:jc w:val="center"/>
        <w:rPr>
          <w:rFonts w:hint="eastAsia"/>
          <w:b/>
          <w:sz w:val="36"/>
          <w:szCs w:val="36"/>
        </w:rPr>
      </w:pPr>
    </w:p>
    <w:p w14:paraId="0AE70A24">
      <w:pPr>
        <w:adjustRightInd w:val="0"/>
        <w:snapToGrid w:val="0"/>
        <w:spacing w:line="500" w:lineRule="exact"/>
        <w:jc w:val="center"/>
        <w:rPr>
          <w:rFonts w:hint="eastAsia"/>
          <w:b/>
          <w:sz w:val="36"/>
          <w:szCs w:val="36"/>
        </w:rPr>
      </w:pPr>
    </w:p>
    <w:p w14:paraId="08F987F9">
      <w:pPr>
        <w:adjustRightInd w:val="0"/>
        <w:snapToGrid w:val="0"/>
        <w:spacing w:line="500" w:lineRule="exact"/>
        <w:jc w:val="center"/>
        <w:rPr>
          <w:rFonts w:hint="eastAsia"/>
          <w:b/>
          <w:sz w:val="36"/>
          <w:szCs w:val="36"/>
        </w:rPr>
      </w:pPr>
    </w:p>
    <w:p w14:paraId="2AF81C13">
      <w:pPr>
        <w:adjustRightInd w:val="0"/>
        <w:snapToGrid w:val="0"/>
        <w:spacing w:line="500" w:lineRule="exact"/>
        <w:jc w:val="center"/>
        <w:rPr>
          <w:rFonts w:hint="eastAsia"/>
          <w:b/>
          <w:sz w:val="36"/>
          <w:szCs w:val="36"/>
        </w:rPr>
      </w:pPr>
    </w:p>
    <w:p w14:paraId="58EE0D49">
      <w:pPr>
        <w:adjustRightInd w:val="0"/>
        <w:snapToGrid w:val="0"/>
        <w:spacing w:line="500" w:lineRule="exact"/>
        <w:jc w:val="both"/>
        <w:rPr>
          <w:rFonts w:hint="eastAsia"/>
          <w:b/>
          <w:sz w:val="36"/>
          <w:szCs w:val="36"/>
        </w:rPr>
      </w:pPr>
    </w:p>
    <w:p w14:paraId="4981E79A">
      <w:pPr>
        <w:adjustRightInd w:val="0"/>
        <w:snapToGrid w:val="0"/>
        <w:spacing w:line="500" w:lineRule="exact"/>
        <w:jc w:val="center"/>
        <w:rPr>
          <w:rFonts w:hint="eastAsia"/>
          <w:b/>
          <w:sz w:val="36"/>
          <w:szCs w:val="36"/>
        </w:rPr>
      </w:pPr>
    </w:p>
    <w:p w14:paraId="4A197D61">
      <w:pPr>
        <w:adjustRightInd w:val="0"/>
        <w:snapToGrid w:val="0"/>
        <w:spacing w:line="500" w:lineRule="exact"/>
        <w:jc w:val="center"/>
        <w:rPr>
          <w:rFonts w:hint="eastAsia"/>
          <w:b/>
          <w:sz w:val="36"/>
          <w:szCs w:val="36"/>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3"/>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29"/>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2"/>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2"/>
        <w:ind w:firstLine="562" w:firstLineChars="200"/>
        <w:rPr>
          <w:b/>
          <w:bCs/>
        </w:rPr>
      </w:pPr>
      <w:r>
        <w:rPr>
          <w:rFonts w:hint="eastAsia" w:ascii="仿宋" w:hAnsi="仿宋" w:eastAsia="仿宋"/>
          <w:b/>
          <w:sz w:val="28"/>
          <w:szCs w:val="28"/>
        </w:rPr>
        <w:t>有效投标人不低于3家的：</w:t>
      </w:r>
    </w:p>
    <w:p w14:paraId="6B1D3BBF">
      <w:pPr>
        <w:pStyle w:val="17"/>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741861C0">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0"/>
        <w:tblW w:w="52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7555"/>
      </w:tblGrid>
      <w:tr w14:paraId="68D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F3FE7C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01DFF867">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B8C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64497FD3">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投标报价</w:t>
            </w:r>
          </w:p>
          <w:p w14:paraId="2D83EB3C">
            <w:pPr>
              <w:snapToGrid w:val="0"/>
              <w:spacing w:line="360" w:lineRule="auto"/>
              <w:rPr>
                <w:rFonts w:hint="eastAsia" w:ascii="宋体" w:hAnsi="宋体" w:eastAsia="宋体" w:cs="宋体"/>
                <w:kern w:val="0"/>
                <w:sz w:val="24"/>
                <w:szCs w:val="24"/>
              </w:rPr>
            </w:pPr>
            <w:r>
              <w:rPr>
                <w:rFonts w:hint="eastAsia" w:ascii="仿宋" w:hAnsi="仿宋" w:eastAsia="仿宋" w:cs="Times New Roman"/>
                <w:spacing w:val="1"/>
                <w:kern w:val="0"/>
                <w:sz w:val="24"/>
                <w:lang w:val="en-US" w:eastAsia="zh-CN"/>
              </w:rPr>
              <w:t>（30分）</w:t>
            </w:r>
          </w:p>
        </w:tc>
        <w:tc>
          <w:tcPr>
            <w:tcW w:w="4258" w:type="pct"/>
            <w:tcBorders>
              <w:top w:val="single" w:color="auto" w:sz="4" w:space="0"/>
              <w:left w:val="single" w:color="auto" w:sz="4" w:space="0"/>
              <w:bottom w:val="single" w:color="auto" w:sz="4" w:space="0"/>
              <w:right w:val="single" w:color="auto" w:sz="4" w:space="0"/>
            </w:tcBorders>
            <w:noWrap w:val="0"/>
            <w:vAlign w:val="top"/>
          </w:tcPr>
          <w:p w14:paraId="7E208602">
            <w:pPr>
              <w:snapToGrid w:val="0"/>
              <w:spacing w:line="360" w:lineRule="auto"/>
              <w:rPr>
                <w:rFonts w:hint="eastAsia" w:ascii="宋体" w:hAnsi="宋体" w:eastAsia="宋体" w:cs="宋体"/>
                <w:sz w:val="24"/>
                <w:szCs w:val="24"/>
              </w:rPr>
            </w:pPr>
            <w:r>
              <w:rPr>
                <w:rFonts w:hint="eastAsia" w:ascii="仿宋" w:hAnsi="仿宋" w:eastAsia="仿宋" w:cs="Times New Roman"/>
                <w:spacing w:val="1"/>
                <w:kern w:val="0"/>
                <w:sz w:val="24"/>
                <w:lang w:val="en-US" w:eastAsia="zh-CN"/>
              </w:rPr>
              <w:t>满足招标文件要求且投标价格最低的投标报价为评标基准价，其价格分为满分30分。其他投标人的价格分统一按照下列公式计算：计算公式为：价格分=30×（基准价/投标价），保留2位小数。</w:t>
            </w:r>
          </w:p>
        </w:tc>
      </w:tr>
      <w:tr w14:paraId="2662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FF2994F">
            <w:pPr>
              <w:widowControl/>
              <w:jc w:val="center"/>
              <w:rPr>
                <w:rFonts w:hint="default" w:ascii="宋体" w:hAnsi="宋体" w:eastAsia="宋体" w:cs="宋体"/>
                <w:sz w:val="24"/>
                <w:szCs w:val="24"/>
                <w:highlight w:val="none"/>
                <w:lang w:val="en-US"/>
              </w:rPr>
            </w:pPr>
            <w:r>
              <w:rPr>
                <w:rFonts w:hint="eastAsia" w:ascii="仿宋" w:hAnsi="仿宋" w:eastAsia="仿宋" w:cs="仿宋"/>
                <w:kern w:val="0"/>
                <w:sz w:val="24"/>
                <w:lang w:val="en-US" w:eastAsia="zh-CN"/>
              </w:rPr>
              <w:t>技术部分（50分）</w:t>
            </w:r>
          </w:p>
        </w:tc>
        <w:tc>
          <w:tcPr>
            <w:tcW w:w="4258" w:type="pct"/>
            <w:tcBorders>
              <w:top w:val="single" w:color="auto" w:sz="4" w:space="0"/>
              <w:left w:val="single" w:color="auto" w:sz="4" w:space="0"/>
              <w:bottom w:val="single" w:color="auto" w:sz="4" w:space="0"/>
              <w:right w:val="single" w:color="auto" w:sz="4" w:space="0"/>
            </w:tcBorders>
            <w:noWrap w:val="0"/>
            <w:vAlign w:val="top"/>
          </w:tcPr>
          <w:p w14:paraId="06636099">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根据招标文件对第三项服务标准及要求的（未标记“**”的技术参数）偏离情况进行评分。</w:t>
            </w:r>
          </w:p>
          <w:p w14:paraId="441AAB1A">
            <w:pPr>
              <w:rPr>
                <w:rFonts w:hint="eastAsia" w:ascii="宋体" w:hAnsi="宋体" w:eastAsia="宋体" w:cs="宋体"/>
                <w:sz w:val="24"/>
                <w:szCs w:val="24"/>
                <w:highlight w:val="none"/>
              </w:rPr>
            </w:pPr>
            <w:r>
              <w:rPr>
                <w:rFonts w:hint="eastAsia" w:ascii="仿宋" w:hAnsi="仿宋" w:eastAsia="仿宋"/>
                <w:spacing w:val="1"/>
                <w:kern w:val="0"/>
                <w:sz w:val="24"/>
                <w:lang w:val="en-US" w:eastAsia="zh-CN"/>
              </w:rPr>
              <w:t>全部满足招标文件要求的得满分；与招标文件要求有非实质性负偏离的（以投标文件偏离表载明的为准），有一项扣5分，扣完为止，最高得50分。</w:t>
            </w:r>
          </w:p>
        </w:tc>
      </w:tr>
      <w:tr w14:paraId="5151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1013EA33">
            <w:pPr>
              <w:keepNext w:val="0"/>
              <w:keepLines w:val="0"/>
              <w:pageBreakBefore w:val="0"/>
              <w:widowControl/>
              <w:suppressLineNumbers w:val="0"/>
              <w:kinsoku/>
              <w:wordWrap/>
              <w:overflowPunct/>
              <w:topLinePunct w:val="0"/>
              <w:bidi w:val="0"/>
              <w:spacing w:line="360" w:lineRule="auto"/>
              <w:ind w:left="0" w:leftChars="0" w:right="0" w:rightChars="0"/>
              <w:jc w:val="left"/>
              <w:textAlignment w:val="auto"/>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改造施工方案（5分</w:t>
            </w:r>
            <w:r>
              <w:rPr>
                <w:rFonts w:hint="eastAsia"/>
                <w:lang w:val="en-US" w:eastAsia="zh-CN"/>
              </w:rPr>
              <w:t>）</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01E9EF04">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1、改造方案全面、详尽、合理、技术质量有保障的得5分；2、方案基本全面、详尽、合理、技术质量基本有保障的得3分；3、方案不全面不详尽的得1分；无方案的得0分。</w:t>
            </w:r>
          </w:p>
        </w:tc>
      </w:tr>
      <w:tr w14:paraId="4E5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BC2C1E1">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售后服务（5分）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345152E6">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根据公司承诺的售后服务方案打分。售后方案可行、质保期在三年及以上、售后时效性高的得5分；售后方案可行、质保期为两年的、售后时效性高的得3分；售后方案可行、质保期为一年的、售后时效性高的得1分；无售后方案或售后方案较差、质保期少于一年、售后不及时的均不得分。</w:t>
            </w:r>
          </w:p>
        </w:tc>
      </w:tr>
      <w:tr w14:paraId="37E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0989EB34">
            <w:pPr>
              <w:snapToGrid w:val="0"/>
              <w:jc w:val="center"/>
              <w:rPr>
                <w:rFonts w:hint="eastAsia" w:ascii="宋体" w:hAnsi="宋体" w:eastAsia="宋体" w:cs="宋体"/>
                <w:sz w:val="24"/>
                <w:szCs w:val="24"/>
                <w:highlight w:val="none"/>
                <w:lang w:val="en-US" w:eastAsia="zh-CN"/>
              </w:rPr>
            </w:pPr>
            <w:r>
              <w:rPr>
                <w:rFonts w:hint="eastAsia" w:ascii="仿宋" w:hAnsi="仿宋" w:eastAsia="仿宋" w:cs="仿宋"/>
                <w:kern w:val="0"/>
                <w:sz w:val="24"/>
                <w:lang w:val="en-US" w:eastAsia="zh-CN"/>
              </w:rPr>
              <w:t>业绩（10分）</w:t>
            </w:r>
          </w:p>
        </w:tc>
        <w:tc>
          <w:tcPr>
            <w:tcW w:w="4258" w:type="pct"/>
            <w:tcBorders>
              <w:top w:val="single" w:color="auto" w:sz="4" w:space="0"/>
              <w:left w:val="single" w:color="auto" w:sz="4" w:space="0"/>
              <w:bottom w:val="single" w:color="auto" w:sz="4" w:space="0"/>
              <w:right w:val="single" w:color="auto" w:sz="4" w:space="0"/>
            </w:tcBorders>
            <w:noWrap w:val="0"/>
            <w:vAlign w:val="top"/>
          </w:tcPr>
          <w:p w14:paraId="0569980A">
            <w:pPr>
              <w:snapToGrid w:val="0"/>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投标人具有2022年1月1日以来类似房屋改造项目的业绩，签订合同两份（含两份）以上的得满分，每少一份扣除5分，最多得10分。</w:t>
            </w:r>
          </w:p>
        </w:tc>
      </w:tr>
    </w:tbl>
    <w:p w14:paraId="33CBA24F">
      <w:pPr>
        <w:jc w:val="center"/>
        <w:rPr>
          <w:rFonts w:hint="eastAsia" w:ascii="宋体" w:hAnsi="宋体"/>
          <w:b/>
          <w:bCs/>
          <w:sz w:val="36"/>
          <w:szCs w:val="36"/>
        </w:rPr>
      </w:pPr>
    </w:p>
    <w:p w14:paraId="05FFFF2F">
      <w:pPr>
        <w:jc w:val="center"/>
        <w:rPr>
          <w:rFonts w:hint="eastAsia" w:ascii="宋体" w:hAnsi="宋体"/>
          <w:b/>
          <w:bCs/>
          <w:sz w:val="36"/>
          <w:szCs w:val="36"/>
        </w:rPr>
      </w:pPr>
    </w:p>
    <w:p w14:paraId="0928912E">
      <w:pPr>
        <w:jc w:val="center"/>
        <w:rPr>
          <w:rFonts w:hint="eastAsia" w:ascii="宋体" w:hAnsi="宋体"/>
          <w:b/>
          <w:bCs/>
          <w:sz w:val="36"/>
          <w:szCs w:val="36"/>
        </w:rPr>
      </w:pPr>
    </w:p>
    <w:p w14:paraId="1DC92E2C">
      <w:pPr>
        <w:jc w:val="center"/>
        <w:rPr>
          <w:rFonts w:hint="eastAsia" w:ascii="宋体" w:hAnsi="宋体"/>
          <w:b/>
          <w:bCs/>
          <w:sz w:val="36"/>
          <w:szCs w:val="36"/>
        </w:rPr>
      </w:pPr>
    </w:p>
    <w:p w14:paraId="4C4F6016">
      <w:pPr>
        <w:jc w:val="center"/>
        <w:rPr>
          <w:rFonts w:hint="eastAsia" w:ascii="宋体" w:hAnsi="宋体"/>
          <w:b/>
          <w:bCs/>
          <w:sz w:val="36"/>
          <w:szCs w:val="36"/>
        </w:rPr>
      </w:pPr>
    </w:p>
    <w:p w14:paraId="322AE735">
      <w:pPr>
        <w:jc w:val="center"/>
        <w:rPr>
          <w:rFonts w:hint="eastAsia" w:ascii="宋体" w:hAnsi="宋体"/>
          <w:b/>
          <w:bCs/>
          <w:sz w:val="36"/>
          <w:szCs w:val="36"/>
        </w:rPr>
      </w:pPr>
    </w:p>
    <w:p w14:paraId="5181300C">
      <w:pPr>
        <w:jc w:val="center"/>
        <w:rPr>
          <w:rFonts w:hint="eastAsia" w:ascii="宋体" w:hAnsi="宋体"/>
          <w:b/>
          <w:bCs/>
          <w:sz w:val="36"/>
          <w:szCs w:val="36"/>
        </w:rPr>
      </w:pPr>
    </w:p>
    <w:p w14:paraId="3F758A76">
      <w:pPr>
        <w:jc w:val="center"/>
        <w:rPr>
          <w:rFonts w:hint="eastAsia" w:ascii="宋体" w:hAnsi="宋体"/>
          <w:b/>
          <w:bCs/>
          <w:sz w:val="36"/>
          <w:szCs w:val="36"/>
        </w:rPr>
      </w:pPr>
    </w:p>
    <w:p w14:paraId="48B5D18F">
      <w:pPr>
        <w:jc w:val="center"/>
        <w:rPr>
          <w:rFonts w:hint="eastAsia" w:ascii="宋体" w:hAnsi="宋体"/>
          <w:b/>
          <w:bCs/>
          <w:sz w:val="36"/>
          <w:szCs w:val="36"/>
        </w:rPr>
      </w:pPr>
    </w:p>
    <w:p w14:paraId="736B8659">
      <w:pPr>
        <w:jc w:val="center"/>
        <w:rPr>
          <w:rFonts w:hint="eastAsia" w:ascii="宋体" w:hAnsi="宋体"/>
          <w:b/>
          <w:bCs/>
          <w:sz w:val="36"/>
          <w:szCs w:val="36"/>
        </w:rPr>
      </w:pPr>
    </w:p>
    <w:p w14:paraId="48862D38">
      <w:pPr>
        <w:jc w:val="center"/>
        <w:rPr>
          <w:rFonts w:hint="eastAsia" w:ascii="宋体" w:hAnsi="宋体"/>
          <w:b/>
          <w:bCs/>
          <w:sz w:val="36"/>
          <w:szCs w:val="36"/>
        </w:rPr>
      </w:pPr>
    </w:p>
    <w:p w14:paraId="74C26742">
      <w:pPr>
        <w:jc w:val="center"/>
        <w:rPr>
          <w:rFonts w:hint="eastAsia" w:ascii="宋体" w:hAnsi="宋体"/>
          <w:b/>
          <w:bCs/>
          <w:sz w:val="36"/>
          <w:szCs w:val="36"/>
        </w:rPr>
      </w:pPr>
    </w:p>
    <w:p w14:paraId="5E95566C">
      <w:pPr>
        <w:jc w:val="center"/>
        <w:rPr>
          <w:rFonts w:hint="eastAsia" w:ascii="宋体" w:hAnsi="宋体"/>
          <w:b/>
          <w:bCs/>
          <w:sz w:val="36"/>
          <w:szCs w:val="36"/>
        </w:rPr>
      </w:pPr>
    </w:p>
    <w:p w14:paraId="30081883">
      <w:pPr>
        <w:jc w:val="center"/>
        <w:rPr>
          <w:rFonts w:hint="eastAsia" w:ascii="宋体" w:hAnsi="宋体"/>
          <w:b/>
          <w:bCs/>
          <w:sz w:val="36"/>
          <w:szCs w:val="36"/>
        </w:rPr>
      </w:pPr>
    </w:p>
    <w:p w14:paraId="22C86FE8">
      <w:pPr>
        <w:jc w:val="center"/>
        <w:rPr>
          <w:rFonts w:hint="eastAsia" w:ascii="宋体" w:hAnsi="宋体"/>
          <w:b/>
          <w:bCs/>
          <w:sz w:val="36"/>
          <w:szCs w:val="36"/>
        </w:rPr>
      </w:pPr>
    </w:p>
    <w:p w14:paraId="30BFCD55">
      <w:pPr>
        <w:jc w:val="center"/>
        <w:rPr>
          <w:rFonts w:hint="eastAsia" w:ascii="宋体" w:hAnsi="宋体"/>
          <w:b/>
          <w:bCs/>
          <w:sz w:val="36"/>
          <w:szCs w:val="36"/>
        </w:rPr>
      </w:pPr>
    </w:p>
    <w:p w14:paraId="1F4D3330">
      <w:pPr>
        <w:jc w:val="center"/>
        <w:rPr>
          <w:rFonts w:hint="eastAsia" w:ascii="宋体" w:hAnsi="宋体"/>
          <w:b/>
          <w:bCs/>
          <w:sz w:val="36"/>
          <w:szCs w:val="36"/>
        </w:rPr>
      </w:pPr>
    </w:p>
    <w:p w14:paraId="37D87211">
      <w:pPr>
        <w:jc w:val="center"/>
        <w:rPr>
          <w:rFonts w:hint="eastAsia" w:ascii="宋体" w:hAnsi="宋体"/>
          <w:b/>
          <w:bCs/>
          <w:sz w:val="36"/>
          <w:szCs w:val="36"/>
        </w:rPr>
      </w:pPr>
    </w:p>
    <w:p w14:paraId="3D9A236D">
      <w:pPr>
        <w:jc w:val="center"/>
        <w:rPr>
          <w:rFonts w:hint="eastAsia" w:ascii="宋体" w:hAnsi="宋体"/>
          <w:b/>
          <w:bCs/>
          <w:sz w:val="36"/>
          <w:szCs w:val="36"/>
        </w:rPr>
      </w:pPr>
    </w:p>
    <w:p w14:paraId="2B872D77">
      <w:pPr>
        <w:jc w:val="center"/>
        <w:rPr>
          <w:rFonts w:hint="eastAsia" w:ascii="宋体" w:hAnsi="宋体"/>
          <w:b/>
          <w:bCs/>
          <w:sz w:val="36"/>
          <w:szCs w:val="36"/>
        </w:rPr>
      </w:pPr>
    </w:p>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725505AA">
      <w:pPr>
        <w:spacing w:line="360" w:lineRule="auto"/>
        <w:jc w:val="center"/>
        <w:rPr>
          <w:rFonts w:hint="eastAsia" w:ascii="宋体" w:hAnsi="宋体"/>
          <w:b/>
          <w:bCs/>
          <w:sz w:val="36"/>
          <w:szCs w:val="36"/>
        </w:rPr>
      </w:pPr>
    </w:p>
    <w:p w14:paraId="33353FC4">
      <w:pPr>
        <w:spacing w:line="360" w:lineRule="auto"/>
        <w:rPr>
          <w:rFonts w:hint="default" w:ascii="仿宋" w:hAnsi="仿宋" w:eastAsia="仿宋"/>
          <w:sz w:val="30"/>
          <w:szCs w:val="30"/>
          <w:lang w:val="en-US" w:eastAsia="zh-CN"/>
        </w:rPr>
      </w:pPr>
      <w:r>
        <w:rPr>
          <w:rFonts w:hint="eastAsia" w:ascii="仿宋" w:hAnsi="仿宋" w:eastAsia="仿宋"/>
          <w:sz w:val="30"/>
          <w:szCs w:val="30"/>
        </w:rPr>
        <w:t>甲方：濮阳市中</w:t>
      </w:r>
      <w:r>
        <w:rPr>
          <w:rFonts w:hint="eastAsia" w:ascii="仿宋" w:hAnsi="仿宋" w:eastAsia="仿宋"/>
          <w:sz w:val="30"/>
          <w:szCs w:val="30"/>
          <w:lang w:val="en-US" w:eastAsia="zh-CN"/>
        </w:rPr>
        <w:t>医</w:t>
      </w:r>
      <w:r>
        <w:rPr>
          <w:rFonts w:hint="eastAsia" w:ascii="仿宋" w:hAnsi="仿宋" w:eastAsia="仿宋"/>
          <w:sz w:val="30"/>
          <w:szCs w:val="30"/>
        </w:rPr>
        <w:t>医院</w:t>
      </w:r>
      <w:r>
        <w:rPr>
          <w:rFonts w:hint="eastAsia" w:ascii="仿宋" w:hAnsi="仿宋" w:eastAsia="仿宋"/>
          <w:sz w:val="30"/>
          <w:szCs w:val="30"/>
          <w:lang w:val="en-US" w:eastAsia="zh-CN"/>
        </w:rPr>
        <w:t>濮阳县医院（濮阳县中医医院）</w:t>
      </w:r>
    </w:p>
    <w:p w14:paraId="4BB48748">
      <w:pPr>
        <w:spacing w:line="360" w:lineRule="auto"/>
        <w:rPr>
          <w:rFonts w:ascii="仿宋" w:hAnsi="仿宋" w:eastAsia="仿宋"/>
          <w:sz w:val="30"/>
          <w:szCs w:val="30"/>
        </w:rPr>
      </w:pPr>
      <w:r>
        <w:rPr>
          <w:rFonts w:hint="eastAsia" w:ascii="仿宋" w:hAnsi="仿宋" w:eastAsia="仿宋"/>
          <w:sz w:val="30"/>
          <w:szCs w:val="30"/>
        </w:rPr>
        <w:t>乙方：</w:t>
      </w:r>
      <w:r>
        <w:rPr>
          <w:rFonts w:ascii="仿宋" w:hAnsi="仿宋" w:eastAsia="仿宋"/>
          <w:sz w:val="30"/>
          <w:szCs w:val="30"/>
        </w:rPr>
        <w:t xml:space="preserve"> </w:t>
      </w:r>
    </w:p>
    <w:p w14:paraId="08E01A21">
      <w:pPr>
        <w:spacing w:line="360" w:lineRule="auto"/>
        <w:ind w:firstLine="600" w:firstLineChars="200"/>
        <w:rPr>
          <w:rFonts w:ascii="仿宋" w:hAnsi="仿宋" w:eastAsia="仿宋"/>
          <w:sz w:val="30"/>
          <w:szCs w:val="30"/>
        </w:rPr>
      </w:pPr>
      <w:r>
        <w:rPr>
          <w:rFonts w:hint="eastAsia" w:ascii="仿宋" w:hAnsi="仿宋" w:eastAsia="仿宋"/>
          <w:sz w:val="30"/>
          <w:szCs w:val="30"/>
        </w:rPr>
        <w:t>乙方经参加甲方组织的竞标并中标，经双方协商达成如下合同条款：</w:t>
      </w:r>
    </w:p>
    <w:p w14:paraId="432C721C">
      <w:pPr>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1.乙方向甲方提供 </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服务</w:t>
      </w:r>
      <w:r>
        <w:rPr>
          <w:rFonts w:hint="eastAsia" w:ascii="仿宋" w:hAnsi="仿宋" w:eastAsia="仿宋"/>
          <w:sz w:val="30"/>
          <w:szCs w:val="30"/>
        </w:rPr>
        <w:t>，具体配置（型号、数量、单价、品牌）：</w:t>
      </w:r>
    </w:p>
    <w:p w14:paraId="3778D2AB">
      <w:pPr>
        <w:spacing w:line="360" w:lineRule="auto"/>
        <w:ind w:firstLine="600" w:firstLineChars="200"/>
        <w:rPr>
          <w:rFonts w:ascii="仿宋" w:hAnsi="仿宋" w:eastAsia="仿宋"/>
          <w:sz w:val="30"/>
          <w:szCs w:val="30"/>
        </w:rPr>
      </w:pPr>
      <w:r>
        <w:rPr>
          <w:rFonts w:hint="eastAsia" w:ascii="仿宋" w:hAnsi="仿宋" w:eastAsia="仿宋"/>
          <w:sz w:val="30"/>
          <w:szCs w:val="30"/>
        </w:rPr>
        <w:t>2.成交价格：人民币</w:t>
      </w:r>
      <w:r>
        <w:rPr>
          <w:rFonts w:hint="eastAsia" w:ascii="仿宋" w:hAnsi="仿宋" w:eastAsia="仿宋"/>
          <w:sz w:val="30"/>
          <w:szCs w:val="30"/>
          <w:u w:val="single"/>
        </w:rPr>
        <w:t xml:space="preserve">         </w:t>
      </w:r>
      <w:r>
        <w:rPr>
          <w:rFonts w:hint="eastAsia" w:ascii="仿宋" w:hAnsi="仿宋" w:eastAsia="仿宋"/>
          <w:sz w:val="30"/>
          <w:szCs w:val="30"/>
        </w:rPr>
        <w:t>万元。大写：</w:t>
      </w:r>
      <w:r>
        <w:rPr>
          <w:rFonts w:hint="eastAsia" w:ascii="仿宋" w:hAnsi="仿宋" w:eastAsia="仿宋"/>
          <w:sz w:val="30"/>
          <w:szCs w:val="30"/>
          <w:u w:val="single"/>
        </w:rPr>
        <w:t xml:space="preserve">            </w:t>
      </w:r>
      <w:r>
        <w:rPr>
          <w:rFonts w:hint="eastAsia" w:ascii="仿宋" w:hAnsi="仿宋" w:eastAsia="仿宋"/>
          <w:sz w:val="30"/>
          <w:szCs w:val="30"/>
        </w:rPr>
        <w:t>万元整。</w:t>
      </w:r>
    </w:p>
    <w:p w14:paraId="1A96C686">
      <w:pPr>
        <w:spacing w:line="360" w:lineRule="auto"/>
        <w:ind w:firstLine="600" w:firstLineChars="200"/>
        <w:rPr>
          <w:rFonts w:ascii="仿宋" w:hAnsi="仿宋" w:eastAsia="仿宋"/>
          <w:b/>
          <w:color w:val="FF0000"/>
          <w:sz w:val="30"/>
          <w:szCs w:val="30"/>
          <w:u w:val="single"/>
        </w:rPr>
      </w:pPr>
      <w:r>
        <w:rPr>
          <w:rFonts w:hint="eastAsia" w:ascii="仿宋" w:hAnsi="仿宋" w:eastAsia="仿宋"/>
          <w:sz w:val="30"/>
          <w:szCs w:val="30"/>
        </w:rPr>
        <w:t>3.付款方式：</w:t>
      </w:r>
      <w:r>
        <w:rPr>
          <w:rFonts w:hint="eastAsia" w:ascii="仿宋" w:hAnsi="仿宋" w:eastAsia="仿宋"/>
          <w:b/>
          <w:sz w:val="30"/>
          <w:szCs w:val="30"/>
        </w:rPr>
        <w:t>见招标文件。</w:t>
      </w:r>
      <w:r>
        <w:rPr>
          <w:rFonts w:hint="eastAsia" w:ascii="仿宋" w:hAnsi="仿宋" w:eastAsia="仿宋"/>
          <w:b/>
          <w:bCs/>
          <w:sz w:val="32"/>
          <w:szCs w:val="32"/>
        </w:rPr>
        <w:t xml:space="preserve">         </w:t>
      </w:r>
    </w:p>
    <w:p w14:paraId="6DF7636E">
      <w:pPr>
        <w:spacing w:line="360" w:lineRule="auto"/>
        <w:ind w:firstLine="600" w:firstLineChars="200"/>
        <w:rPr>
          <w:rFonts w:ascii="仿宋" w:hAnsi="仿宋" w:eastAsia="仿宋"/>
          <w:sz w:val="30"/>
          <w:szCs w:val="30"/>
        </w:rPr>
      </w:pPr>
      <w:r>
        <w:rPr>
          <w:rFonts w:hint="eastAsia" w:ascii="仿宋" w:hAnsi="仿宋" w:eastAsia="仿宋"/>
          <w:sz w:val="30"/>
          <w:szCs w:val="30"/>
        </w:rPr>
        <w:t>4. 交货地点及运费：甲方指定地点，费用由乙方承担。</w:t>
      </w:r>
    </w:p>
    <w:p w14:paraId="31BC4D77">
      <w:pPr>
        <w:spacing w:line="360" w:lineRule="auto"/>
        <w:ind w:firstLine="600" w:firstLineChars="200"/>
        <w:rPr>
          <w:rFonts w:ascii="仿宋" w:hAnsi="仿宋" w:eastAsia="仿宋"/>
          <w:sz w:val="30"/>
          <w:szCs w:val="30"/>
        </w:rPr>
      </w:pPr>
      <w:r>
        <w:rPr>
          <w:rFonts w:hint="eastAsia" w:ascii="仿宋" w:hAnsi="仿宋" w:eastAsia="仿宋"/>
          <w:sz w:val="30"/>
          <w:szCs w:val="30"/>
        </w:rPr>
        <w:t>5.甲方无正当理由拒收产品、拒付货款应向乙方偿付拒付部分款项总额5%的违约金。甲方逾期付款的，应向乙方每日偿付欠款部分0.05%的违约金。</w:t>
      </w:r>
    </w:p>
    <w:p w14:paraId="3AE33B5B">
      <w:pPr>
        <w:spacing w:line="360" w:lineRule="auto"/>
        <w:ind w:firstLine="600" w:firstLineChars="200"/>
        <w:rPr>
          <w:rFonts w:ascii="宋体" w:hAnsi="宋体" w:cs="宋体"/>
          <w:color w:val="FF0000"/>
          <w:sz w:val="28"/>
          <w:szCs w:val="28"/>
        </w:rPr>
      </w:pPr>
      <w:r>
        <w:rPr>
          <w:rFonts w:hint="eastAsia" w:ascii="仿宋" w:hAnsi="仿宋" w:eastAsia="仿宋"/>
          <w:sz w:val="30"/>
          <w:szCs w:val="30"/>
        </w:rPr>
        <w:t>逾期交货，</w:t>
      </w:r>
      <w:r>
        <w:rPr>
          <w:rFonts w:hint="eastAsia" w:ascii="仿宋" w:hAnsi="仿宋" w:eastAsia="仿宋"/>
          <w:bCs/>
          <w:sz w:val="30"/>
          <w:szCs w:val="30"/>
        </w:rPr>
        <w:t>每超过一天按合同违约付款延后一年，</w:t>
      </w:r>
      <w:r>
        <w:rPr>
          <w:rFonts w:hint="eastAsia" w:ascii="宋体" w:hAnsi="宋体" w:cs="宋体"/>
          <w:sz w:val="28"/>
          <w:szCs w:val="28"/>
        </w:rPr>
        <w:t>且</w:t>
      </w:r>
      <w:r>
        <w:rPr>
          <w:rFonts w:hint="eastAsia" w:ascii="仿宋" w:hAnsi="仿宋" w:eastAsia="仿宋"/>
          <w:sz w:val="30"/>
          <w:szCs w:val="30"/>
        </w:rPr>
        <w:t>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4BCE13E2">
      <w:pPr>
        <w:spacing w:line="360" w:lineRule="auto"/>
        <w:ind w:firstLine="600" w:firstLineChars="200"/>
        <w:rPr>
          <w:rFonts w:ascii="仿宋" w:hAnsi="仿宋" w:eastAsia="仿宋"/>
          <w:sz w:val="30"/>
          <w:szCs w:val="30"/>
        </w:rPr>
      </w:pPr>
      <w:r>
        <w:rPr>
          <w:rFonts w:hint="eastAsia" w:ascii="仿宋" w:hAnsi="仿宋" w:eastAsia="仿宋"/>
          <w:sz w:val="30"/>
          <w:szCs w:val="30"/>
        </w:rPr>
        <w:t>6.操作使用培训、售后维修等其他约定见乙方投标书及合同附页。乙方投标书及合同附页是本合同不可分割的一部分，并具同等法律效力。投标书中与合同或合同附页不同的以合同或合同附页为准（比如付款方式）。</w:t>
      </w:r>
    </w:p>
    <w:p w14:paraId="70155BBF">
      <w:pPr>
        <w:spacing w:line="360" w:lineRule="auto"/>
        <w:ind w:firstLine="600" w:firstLineChars="200"/>
        <w:rPr>
          <w:rFonts w:ascii="仿宋" w:hAnsi="仿宋" w:eastAsia="仿宋"/>
          <w:sz w:val="30"/>
          <w:szCs w:val="30"/>
        </w:rPr>
      </w:pPr>
      <w:r>
        <w:rPr>
          <w:rFonts w:hint="eastAsia" w:ascii="仿宋" w:hAnsi="仿宋" w:eastAsia="仿宋"/>
          <w:sz w:val="30"/>
          <w:szCs w:val="30"/>
        </w:rPr>
        <w:t>7.本合同一式肆份，甲方持有三份，乙方持有一份。本合同自签订之日起即生效。</w:t>
      </w:r>
    </w:p>
    <w:p w14:paraId="2FC3D310">
      <w:pPr>
        <w:spacing w:line="360" w:lineRule="auto"/>
        <w:ind w:firstLine="600" w:firstLineChars="200"/>
        <w:rPr>
          <w:rFonts w:ascii="仿宋" w:hAnsi="仿宋" w:eastAsia="仿宋"/>
          <w:sz w:val="30"/>
          <w:szCs w:val="30"/>
        </w:rPr>
      </w:pPr>
      <w:r>
        <w:rPr>
          <w:rFonts w:hint="eastAsia" w:ascii="仿宋" w:hAnsi="仿宋" w:eastAsia="仿宋"/>
          <w:sz w:val="30"/>
          <w:szCs w:val="30"/>
        </w:rPr>
        <w:t>8.本合同发生争议产生的诉讼，由甲方所在地法院裁决。</w:t>
      </w:r>
    </w:p>
    <w:p w14:paraId="641CA851">
      <w:pPr>
        <w:spacing w:line="360" w:lineRule="auto"/>
        <w:rPr>
          <w:rFonts w:ascii="仿宋" w:hAnsi="仿宋" w:eastAsia="仿宋"/>
          <w:sz w:val="30"/>
          <w:szCs w:val="30"/>
        </w:rPr>
      </w:pPr>
    </w:p>
    <w:p w14:paraId="596217ED">
      <w:pPr>
        <w:spacing w:line="360" w:lineRule="auto"/>
        <w:jc w:val="center"/>
        <w:rPr>
          <w:rFonts w:ascii="仿宋" w:hAnsi="仿宋" w:eastAsia="仿宋"/>
          <w:sz w:val="30"/>
          <w:szCs w:val="30"/>
        </w:rPr>
      </w:pPr>
    </w:p>
    <w:p w14:paraId="0CB971B7">
      <w:pPr>
        <w:spacing w:line="360" w:lineRule="auto"/>
        <w:ind w:right="600"/>
        <w:rPr>
          <w:rFonts w:ascii="仿宋" w:hAnsi="仿宋" w:eastAsia="仿宋"/>
          <w:sz w:val="30"/>
          <w:szCs w:val="30"/>
        </w:rPr>
      </w:pPr>
      <w:r>
        <w:rPr>
          <w:rFonts w:hint="eastAsia" w:ascii="仿宋" w:hAnsi="仿宋" w:eastAsia="仿宋"/>
          <w:sz w:val="30"/>
          <w:szCs w:val="30"/>
        </w:rPr>
        <w:t>甲方：濮阳市中医医院</w:t>
      </w:r>
      <w:r>
        <w:rPr>
          <w:rFonts w:hint="eastAsia" w:ascii="仿宋" w:hAnsi="仿宋" w:eastAsia="仿宋"/>
          <w:sz w:val="30"/>
          <w:szCs w:val="30"/>
          <w:lang w:val="en-US" w:eastAsia="zh-CN"/>
        </w:rPr>
        <w:t>濮阳县医院</w:t>
      </w:r>
      <w:r>
        <w:rPr>
          <w:rFonts w:hint="eastAsia" w:ascii="仿宋" w:hAnsi="仿宋" w:eastAsia="仿宋"/>
          <w:sz w:val="30"/>
          <w:szCs w:val="30"/>
        </w:rPr>
        <w:tab/>
      </w:r>
      <w:r>
        <w:rPr>
          <w:rFonts w:hint="eastAsia" w:ascii="仿宋" w:hAnsi="仿宋" w:eastAsia="仿宋"/>
          <w:sz w:val="30"/>
          <w:szCs w:val="30"/>
        </w:rPr>
        <w:tab/>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乙方：</w:t>
      </w:r>
    </w:p>
    <w:p w14:paraId="22F890E1">
      <w:pPr>
        <w:spacing w:line="360" w:lineRule="auto"/>
        <w:ind w:right="600" w:firstLine="1500" w:firstLineChars="500"/>
        <w:rPr>
          <w:rFonts w:hint="eastAsia" w:ascii="仿宋" w:hAnsi="仿宋" w:eastAsia="仿宋"/>
          <w:sz w:val="30"/>
          <w:szCs w:val="30"/>
          <w:lang w:val="en-US" w:eastAsia="zh-CN"/>
        </w:rPr>
      </w:pPr>
    </w:p>
    <w:p w14:paraId="1751DD5A">
      <w:pPr>
        <w:spacing w:line="360" w:lineRule="auto"/>
        <w:ind w:right="600" w:firstLine="1500" w:firstLineChars="500"/>
        <w:jc w:val="right"/>
        <w:rPr>
          <w:rFonts w:hint="eastAsia" w:ascii="仿宋" w:hAnsi="仿宋" w:eastAsia="仿宋"/>
          <w:sz w:val="30"/>
          <w:szCs w:val="30"/>
          <w:lang w:val="en-US" w:eastAsia="zh-CN"/>
        </w:rPr>
      </w:pPr>
      <w:r>
        <w:rPr>
          <w:rFonts w:hint="eastAsia" w:ascii="仿宋" w:hAnsi="仿宋" w:eastAsia="仿宋"/>
          <w:sz w:val="30"/>
          <w:szCs w:val="30"/>
          <w:lang w:val="en-US" w:eastAsia="zh-CN"/>
        </w:rPr>
        <w:t>濮阳县中医医院</w:t>
      </w:r>
    </w:p>
    <w:p w14:paraId="089D3BC8">
      <w:pPr>
        <w:pStyle w:val="19"/>
        <w:rPr>
          <w:rFonts w:hint="eastAsia" w:ascii="宋体" w:hAnsi="宋体"/>
          <w:b/>
          <w:bCs/>
          <w:sz w:val="36"/>
          <w:szCs w:val="36"/>
        </w:rPr>
      </w:pPr>
    </w:p>
    <w:p w14:paraId="35568E1D">
      <w:pPr>
        <w:pStyle w:val="6"/>
        <w:rPr>
          <w:rFonts w:hint="eastAsia" w:ascii="宋体" w:hAnsi="宋体"/>
          <w:b/>
          <w:bCs/>
          <w:sz w:val="36"/>
          <w:szCs w:val="36"/>
        </w:rPr>
      </w:pPr>
    </w:p>
    <w:p w14:paraId="472892B8">
      <w:pPr>
        <w:pStyle w:val="6"/>
        <w:rPr>
          <w:rFonts w:hint="eastAsia" w:ascii="宋体" w:hAnsi="宋体"/>
          <w:b/>
          <w:bCs/>
          <w:sz w:val="36"/>
          <w:szCs w:val="36"/>
        </w:rPr>
      </w:pPr>
    </w:p>
    <w:p w14:paraId="629DCD37">
      <w:pPr>
        <w:pStyle w:val="6"/>
        <w:rPr>
          <w:rFonts w:hint="eastAsia" w:ascii="宋体" w:hAnsi="宋体"/>
          <w:b/>
          <w:bCs/>
          <w:sz w:val="36"/>
          <w:szCs w:val="36"/>
        </w:rPr>
      </w:pPr>
    </w:p>
    <w:p w14:paraId="038C65FA">
      <w:pPr>
        <w:pStyle w:val="6"/>
        <w:rPr>
          <w:rFonts w:hint="eastAsia" w:ascii="宋体" w:hAnsi="宋体"/>
          <w:b/>
          <w:bCs/>
          <w:sz w:val="36"/>
          <w:szCs w:val="36"/>
        </w:rPr>
      </w:pPr>
    </w:p>
    <w:p w14:paraId="18B8E31D">
      <w:pPr>
        <w:pStyle w:val="6"/>
        <w:rPr>
          <w:rFonts w:hint="eastAsia" w:ascii="宋体" w:hAnsi="宋体"/>
          <w:b/>
          <w:bCs/>
          <w:sz w:val="36"/>
          <w:szCs w:val="36"/>
        </w:rPr>
      </w:pPr>
    </w:p>
    <w:p w14:paraId="0DA72785">
      <w:pPr>
        <w:pStyle w:val="6"/>
        <w:rPr>
          <w:rFonts w:hint="eastAsia" w:ascii="宋体" w:hAnsi="宋体"/>
          <w:b/>
          <w:bCs/>
          <w:sz w:val="36"/>
          <w:szCs w:val="36"/>
        </w:rPr>
      </w:pPr>
    </w:p>
    <w:p w14:paraId="30340E9A">
      <w:pPr>
        <w:pStyle w:val="6"/>
        <w:rPr>
          <w:rFonts w:hint="eastAsia" w:ascii="宋体" w:hAnsi="宋体"/>
          <w:b/>
          <w:bCs/>
          <w:sz w:val="36"/>
          <w:szCs w:val="36"/>
        </w:rPr>
      </w:pPr>
    </w:p>
    <w:p w14:paraId="6AF8881B">
      <w:pPr>
        <w:pStyle w:val="6"/>
        <w:rPr>
          <w:rFonts w:hint="eastAsia" w:ascii="宋体" w:hAnsi="宋体"/>
          <w:b/>
          <w:bCs/>
          <w:sz w:val="36"/>
          <w:szCs w:val="36"/>
        </w:rPr>
      </w:pPr>
    </w:p>
    <w:p w14:paraId="144463E8">
      <w:pPr>
        <w:pStyle w:val="6"/>
        <w:rPr>
          <w:rFonts w:hint="eastAsia" w:ascii="宋体" w:hAnsi="宋体"/>
          <w:b/>
          <w:bCs/>
          <w:sz w:val="36"/>
          <w:szCs w:val="36"/>
        </w:rPr>
      </w:pPr>
    </w:p>
    <w:p w14:paraId="3EEA17F7">
      <w:pPr>
        <w:pStyle w:val="6"/>
        <w:ind w:left="0" w:leftChars="0" w:firstLine="0" w:firstLineChars="0"/>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7"/>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w:t>
      </w:r>
      <w:r>
        <w:rPr>
          <w:rFonts w:hint="eastAsia" w:ascii="仿宋" w:hAnsi="仿宋" w:eastAsia="仿宋" w:cs="仿宋"/>
          <w:sz w:val="30"/>
          <w:szCs w:val="30"/>
          <w:lang w:val="en-US" w:eastAsia="zh-CN"/>
        </w:rPr>
        <w:t>老院区煎药房改造项目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19"/>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28（三次）</w:t>
      </w:r>
      <w:r>
        <w:rPr>
          <w:rFonts w:hint="eastAsia" w:ascii="仿宋" w:hAnsi="仿宋" w:eastAsia="仿宋" w:cs="仿宋"/>
          <w:b/>
          <w:sz w:val="30"/>
          <w:szCs w:val="30"/>
        </w:rPr>
        <w:t>)</w:t>
      </w:r>
    </w:p>
    <w:p w14:paraId="1D23A793">
      <w:pPr>
        <w:spacing w:line="360" w:lineRule="auto"/>
        <w:rPr>
          <w:rFonts w:hint="eastAsia" w:ascii="仿宋" w:hAnsi="仿宋" w:eastAsia="仿宋"/>
          <w:bCs/>
          <w:sz w:val="32"/>
          <w:szCs w:val="32"/>
        </w:rPr>
      </w:pPr>
      <w:r>
        <w:rPr>
          <w:rFonts w:hint="eastAsia" w:ascii="仿宋" w:hAnsi="仿宋" w:eastAsia="仿宋"/>
          <w:bCs/>
          <w:sz w:val="32"/>
          <w:szCs w:val="32"/>
        </w:rPr>
        <w:t>投标公司名称：</w:t>
      </w:r>
      <w:bookmarkStart w:id="7" w:name="_GoBack"/>
      <w:bookmarkEnd w:id="7"/>
    </w:p>
    <w:p w14:paraId="7BE069FF">
      <w:pPr>
        <w:spacing w:line="360" w:lineRule="auto"/>
        <w:rPr>
          <w:rFonts w:hint="eastAsia" w:ascii="仿宋" w:hAnsi="仿宋" w:eastAsia="仿宋"/>
          <w:bCs/>
          <w:sz w:val="32"/>
          <w:szCs w:val="32"/>
        </w:rPr>
      </w:pPr>
      <w:r>
        <w:rPr>
          <w:rFonts w:hint="eastAsia" w:ascii="仿宋" w:hAnsi="仿宋" w:eastAsia="仿宋"/>
          <w:bCs/>
          <w:sz w:val="32"/>
          <w:szCs w:val="32"/>
        </w:rPr>
        <w:t>投标项</w:t>
      </w:r>
      <w:r>
        <w:rPr>
          <w:rFonts w:hint="eastAsia" w:ascii="仿宋" w:hAnsi="仿宋" w:eastAsia="仿宋" w:cs="Times New Roman"/>
          <w:bCs/>
          <w:sz w:val="32"/>
          <w:szCs w:val="32"/>
        </w:rPr>
        <w:t>目：</w:t>
      </w:r>
      <w:r>
        <w:rPr>
          <w:rFonts w:hint="eastAsia" w:ascii="仿宋" w:hAnsi="仿宋" w:eastAsia="仿宋" w:cs="Times New Roman"/>
          <w:bCs/>
          <w:sz w:val="32"/>
          <w:szCs w:val="32"/>
          <w:lang w:val="en-US" w:eastAsia="zh-CN"/>
        </w:rPr>
        <w:t>老院区煎药房改造项目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5311E4A8">
      <w:pPr>
        <w:spacing w:line="360" w:lineRule="auto"/>
        <w:rPr>
          <w:rFonts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bCs/>
          <w:sz w:val="32"/>
          <w:szCs w:val="32"/>
          <w:lang w:val="en-US" w:eastAsia="zh-CN"/>
        </w:rPr>
        <w:t xml:space="preserve">。           </w:t>
      </w:r>
    </w:p>
    <w:p w14:paraId="0CBDCEEA">
      <w:pPr>
        <w:spacing w:line="360" w:lineRule="auto"/>
        <w:rPr>
          <w:rFonts w:hint="eastAsia" w:ascii="仿宋" w:hAnsi="仿宋" w:eastAsia="仿宋"/>
          <w:bCs/>
          <w:sz w:val="32"/>
          <w:szCs w:val="32"/>
        </w:rPr>
      </w:pP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5A90386A">
      <w:pPr>
        <w:spacing w:line="360" w:lineRule="auto"/>
        <w:jc w:val="center"/>
        <w:rPr>
          <w:rFonts w:hint="eastAsia" w:ascii="仿宋" w:hAnsi="仿宋" w:eastAsia="仿宋" w:cs="仿宋"/>
          <w:b/>
          <w:bCs/>
          <w:sz w:val="30"/>
          <w:szCs w:val="30"/>
        </w:rPr>
      </w:pPr>
    </w:p>
    <w:p w14:paraId="69D1147F">
      <w:pPr>
        <w:spacing w:line="360" w:lineRule="auto"/>
        <w:jc w:val="center"/>
        <w:rPr>
          <w:rFonts w:hint="eastAsia" w:ascii="仿宋" w:hAnsi="仿宋" w:eastAsia="仿宋" w:cs="仿宋"/>
          <w:b/>
          <w:bCs/>
          <w:sz w:val="30"/>
          <w:szCs w:val="30"/>
        </w:rPr>
      </w:pPr>
    </w:p>
    <w:p w14:paraId="150C2BC0">
      <w:pPr>
        <w:spacing w:line="360" w:lineRule="auto"/>
        <w:rPr>
          <w:rFonts w:hint="eastAsia" w:ascii="仿宋" w:hAnsi="仿宋" w:eastAsia="仿宋" w:cs="仿宋"/>
          <w:b/>
          <w:bCs/>
          <w:sz w:val="30"/>
          <w:szCs w:val="30"/>
        </w:rPr>
      </w:pPr>
    </w:p>
    <w:p w14:paraId="7821817B">
      <w:pPr>
        <w:spacing w:line="360" w:lineRule="auto"/>
        <w:jc w:val="center"/>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29"/>
      </w:pPr>
      <w:r>
        <w:rPr>
          <w:rFonts w:hint="eastAsia" w:ascii="仿宋" w:hAnsi="仿宋" w:eastAsia="仿宋"/>
          <w:sz w:val="28"/>
          <w:szCs w:val="28"/>
        </w:rPr>
        <w:t>对招标要求响应情况：</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2"/>
        <w:rPr>
          <w:sz w:val="36"/>
          <w:szCs w:val="36"/>
        </w:rPr>
      </w:pPr>
    </w:p>
    <w:p w14:paraId="4E7E72C0">
      <w:pPr>
        <w:pStyle w:val="3"/>
        <w:rPr>
          <w:rFonts w:hint="eastAsia"/>
        </w:rPr>
      </w:pPr>
    </w:p>
    <w:p w14:paraId="64050803">
      <w:pPr>
        <w:pStyle w:val="3"/>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2"/>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3"/>
      <w:framePr w:wrap="around" w:vAnchor="text" w:hAnchor="margin" w:xAlign="center" w:y="1"/>
      <w:rPr>
        <w:rStyle w:val="24"/>
      </w:rPr>
    </w:pPr>
    <w:r>
      <w:fldChar w:fldCharType="begin"/>
    </w:r>
    <w:r>
      <w:rPr>
        <w:rStyle w:val="24"/>
      </w:rPr>
      <w:instrText xml:space="preserve">PAGE  </w:instrText>
    </w:r>
    <w:r>
      <w:fldChar w:fldCharType="separate"/>
    </w:r>
    <w:r>
      <w:rPr>
        <w:rStyle w:val="24"/>
      </w:rPr>
      <w:t>18</w:t>
    </w:r>
    <w:r>
      <w:fldChar w:fldCharType="end"/>
    </w:r>
  </w:p>
  <w:p w14:paraId="4FE7A89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3"/>
      <w:framePr w:wrap="around" w:vAnchor="text" w:hAnchor="margin" w:xAlign="center" w:y="1"/>
      <w:rPr>
        <w:rStyle w:val="24"/>
      </w:rPr>
    </w:pPr>
    <w:r>
      <w:fldChar w:fldCharType="begin"/>
    </w:r>
    <w:r>
      <w:rPr>
        <w:rStyle w:val="24"/>
      </w:rPr>
      <w:instrText xml:space="preserve">PAGE  </w:instrText>
    </w:r>
    <w:r>
      <w:fldChar w:fldCharType="end"/>
    </w:r>
  </w:p>
  <w:p w14:paraId="538C967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07E1DC00"/>
    <w:multiLevelType w:val="singleLevel"/>
    <w:tmpl w:val="07E1DC00"/>
    <w:lvl w:ilvl="0" w:tentative="0">
      <w:start w:val="1"/>
      <w:numFmt w:val="decimal"/>
      <w:suff w:val="nothing"/>
      <w:lvlText w:val="%1、"/>
      <w:lvlJc w:val="left"/>
    </w:lvl>
  </w:abstractNum>
  <w:abstractNum w:abstractNumId="2">
    <w:nsid w:val="17717A07"/>
    <w:multiLevelType w:val="singleLevel"/>
    <w:tmpl w:val="17717A07"/>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6E788C"/>
    <w:rsid w:val="01A71FD9"/>
    <w:rsid w:val="01FF527B"/>
    <w:rsid w:val="024547DC"/>
    <w:rsid w:val="02496ED3"/>
    <w:rsid w:val="028341AD"/>
    <w:rsid w:val="02C7585E"/>
    <w:rsid w:val="02FD6F88"/>
    <w:rsid w:val="03165668"/>
    <w:rsid w:val="03440F8A"/>
    <w:rsid w:val="03AA7B5F"/>
    <w:rsid w:val="03C71B2E"/>
    <w:rsid w:val="043B25B0"/>
    <w:rsid w:val="049F3623"/>
    <w:rsid w:val="04D07A99"/>
    <w:rsid w:val="04D43127"/>
    <w:rsid w:val="04F92D7B"/>
    <w:rsid w:val="05497224"/>
    <w:rsid w:val="054E09BE"/>
    <w:rsid w:val="057C189C"/>
    <w:rsid w:val="05883C21"/>
    <w:rsid w:val="05A51202"/>
    <w:rsid w:val="05F51706"/>
    <w:rsid w:val="06470A42"/>
    <w:rsid w:val="064E0E6C"/>
    <w:rsid w:val="06C62ED7"/>
    <w:rsid w:val="07720831"/>
    <w:rsid w:val="07752464"/>
    <w:rsid w:val="07E86D22"/>
    <w:rsid w:val="07F17806"/>
    <w:rsid w:val="08001E49"/>
    <w:rsid w:val="08DF0E62"/>
    <w:rsid w:val="08F64FB5"/>
    <w:rsid w:val="09055073"/>
    <w:rsid w:val="09300B06"/>
    <w:rsid w:val="098230E1"/>
    <w:rsid w:val="098F5204"/>
    <w:rsid w:val="099472E7"/>
    <w:rsid w:val="09F04B51"/>
    <w:rsid w:val="0A661C77"/>
    <w:rsid w:val="0AB637C0"/>
    <w:rsid w:val="0BD26E37"/>
    <w:rsid w:val="0C067CC9"/>
    <w:rsid w:val="0C1F2B85"/>
    <w:rsid w:val="0C964A9E"/>
    <w:rsid w:val="0CA819EA"/>
    <w:rsid w:val="0D6C2329"/>
    <w:rsid w:val="0DAA7FCC"/>
    <w:rsid w:val="0DD50AA2"/>
    <w:rsid w:val="0E0B096E"/>
    <w:rsid w:val="0E152333"/>
    <w:rsid w:val="0EE005CF"/>
    <w:rsid w:val="0EF102FA"/>
    <w:rsid w:val="0F672517"/>
    <w:rsid w:val="0F924FA1"/>
    <w:rsid w:val="0FB14214"/>
    <w:rsid w:val="10AA4305"/>
    <w:rsid w:val="10FC5DB6"/>
    <w:rsid w:val="11002148"/>
    <w:rsid w:val="124B4C03"/>
    <w:rsid w:val="13FA68E0"/>
    <w:rsid w:val="14DA6730"/>
    <w:rsid w:val="14F630F3"/>
    <w:rsid w:val="15236361"/>
    <w:rsid w:val="155D6391"/>
    <w:rsid w:val="15AA7996"/>
    <w:rsid w:val="16060C33"/>
    <w:rsid w:val="16EC3BF6"/>
    <w:rsid w:val="17517E56"/>
    <w:rsid w:val="17577E5E"/>
    <w:rsid w:val="17702B6A"/>
    <w:rsid w:val="17F425AE"/>
    <w:rsid w:val="182757CA"/>
    <w:rsid w:val="184521C1"/>
    <w:rsid w:val="184B58DA"/>
    <w:rsid w:val="18782E7F"/>
    <w:rsid w:val="18C61409"/>
    <w:rsid w:val="1954439D"/>
    <w:rsid w:val="196B7938"/>
    <w:rsid w:val="19714462"/>
    <w:rsid w:val="1A660EDA"/>
    <w:rsid w:val="1A8A3D39"/>
    <w:rsid w:val="1A972AF2"/>
    <w:rsid w:val="1AAE3BC4"/>
    <w:rsid w:val="1ABD7EAE"/>
    <w:rsid w:val="1B0901C5"/>
    <w:rsid w:val="1B8A2A9B"/>
    <w:rsid w:val="1BB623EF"/>
    <w:rsid w:val="1C265140"/>
    <w:rsid w:val="1CB533A4"/>
    <w:rsid w:val="1CCC05C2"/>
    <w:rsid w:val="1CEE1194"/>
    <w:rsid w:val="1E2116CA"/>
    <w:rsid w:val="1F1229B2"/>
    <w:rsid w:val="1F2F056C"/>
    <w:rsid w:val="1F641785"/>
    <w:rsid w:val="1F7D33C5"/>
    <w:rsid w:val="20393B72"/>
    <w:rsid w:val="20420482"/>
    <w:rsid w:val="210B711D"/>
    <w:rsid w:val="215153AB"/>
    <w:rsid w:val="21C57E64"/>
    <w:rsid w:val="21E65706"/>
    <w:rsid w:val="231B3C1D"/>
    <w:rsid w:val="239724A3"/>
    <w:rsid w:val="23CA7BEF"/>
    <w:rsid w:val="240927AD"/>
    <w:rsid w:val="24183A95"/>
    <w:rsid w:val="24AA709E"/>
    <w:rsid w:val="251F596E"/>
    <w:rsid w:val="25424004"/>
    <w:rsid w:val="2553373E"/>
    <w:rsid w:val="25724563"/>
    <w:rsid w:val="257312CF"/>
    <w:rsid w:val="25AB37E8"/>
    <w:rsid w:val="25D02DFD"/>
    <w:rsid w:val="25D64A2A"/>
    <w:rsid w:val="25EE3B65"/>
    <w:rsid w:val="26096941"/>
    <w:rsid w:val="266D0594"/>
    <w:rsid w:val="26817115"/>
    <w:rsid w:val="270A7EF0"/>
    <w:rsid w:val="27824A11"/>
    <w:rsid w:val="27EB30DD"/>
    <w:rsid w:val="288D74C6"/>
    <w:rsid w:val="289C0E64"/>
    <w:rsid w:val="28BA47B8"/>
    <w:rsid w:val="28BE5CD7"/>
    <w:rsid w:val="290F5C3F"/>
    <w:rsid w:val="291F75E6"/>
    <w:rsid w:val="29231282"/>
    <w:rsid w:val="296D6E50"/>
    <w:rsid w:val="29C11DCD"/>
    <w:rsid w:val="2A2C0A1E"/>
    <w:rsid w:val="2A7705E5"/>
    <w:rsid w:val="2AFD66DE"/>
    <w:rsid w:val="2B4971C7"/>
    <w:rsid w:val="2B7116C0"/>
    <w:rsid w:val="2B7B1798"/>
    <w:rsid w:val="2B9E3026"/>
    <w:rsid w:val="2BA246D3"/>
    <w:rsid w:val="2BB32B01"/>
    <w:rsid w:val="2BC07C73"/>
    <w:rsid w:val="2BDC461F"/>
    <w:rsid w:val="2C150744"/>
    <w:rsid w:val="2C790B56"/>
    <w:rsid w:val="2C98104C"/>
    <w:rsid w:val="2CBA0563"/>
    <w:rsid w:val="2CCE6B43"/>
    <w:rsid w:val="2CEC2CFF"/>
    <w:rsid w:val="2D5A54A0"/>
    <w:rsid w:val="2D937C62"/>
    <w:rsid w:val="2DDF5A54"/>
    <w:rsid w:val="2E2F1F1F"/>
    <w:rsid w:val="2E323512"/>
    <w:rsid w:val="2EE33BEE"/>
    <w:rsid w:val="2F0A45D4"/>
    <w:rsid w:val="2F2245C6"/>
    <w:rsid w:val="2F4A722B"/>
    <w:rsid w:val="2F5B737E"/>
    <w:rsid w:val="2FC72CBE"/>
    <w:rsid w:val="2FCA52E0"/>
    <w:rsid w:val="301C1206"/>
    <w:rsid w:val="301C1605"/>
    <w:rsid w:val="30741CFC"/>
    <w:rsid w:val="311A1F18"/>
    <w:rsid w:val="31291A0D"/>
    <w:rsid w:val="31DE4814"/>
    <w:rsid w:val="31E57CD7"/>
    <w:rsid w:val="32BA7696"/>
    <w:rsid w:val="32E05D63"/>
    <w:rsid w:val="3386132B"/>
    <w:rsid w:val="33CA4940"/>
    <w:rsid w:val="33E22AF1"/>
    <w:rsid w:val="34264AD4"/>
    <w:rsid w:val="34724278"/>
    <w:rsid w:val="34B123C4"/>
    <w:rsid w:val="34CC52D7"/>
    <w:rsid w:val="34E86440"/>
    <w:rsid w:val="35436DF0"/>
    <w:rsid w:val="35804860"/>
    <w:rsid w:val="359B3AF5"/>
    <w:rsid w:val="361C7FE6"/>
    <w:rsid w:val="36791105"/>
    <w:rsid w:val="36934E49"/>
    <w:rsid w:val="36A60FA1"/>
    <w:rsid w:val="36AD3CEB"/>
    <w:rsid w:val="36CE78F8"/>
    <w:rsid w:val="37C26A00"/>
    <w:rsid w:val="37F75874"/>
    <w:rsid w:val="384745E8"/>
    <w:rsid w:val="38B83436"/>
    <w:rsid w:val="38BE10F9"/>
    <w:rsid w:val="39AE1D07"/>
    <w:rsid w:val="39B50A30"/>
    <w:rsid w:val="3A11249C"/>
    <w:rsid w:val="3A2F05CD"/>
    <w:rsid w:val="3A5F2111"/>
    <w:rsid w:val="3ABF2D2F"/>
    <w:rsid w:val="3B1445AA"/>
    <w:rsid w:val="3B52018A"/>
    <w:rsid w:val="3C042829"/>
    <w:rsid w:val="3C385A9B"/>
    <w:rsid w:val="3C67562A"/>
    <w:rsid w:val="3CA20145"/>
    <w:rsid w:val="3CBC05DB"/>
    <w:rsid w:val="3DA31CF5"/>
    <w:rsid w:val="3E1F1F13"/>
    <w:rsid w:val="3EAD7F28"/>
    <w:rsid w:val="3EB017C6"/>
    <w:rsid w:val="3EB501EE"/>
    <w:rsid w:val="3EE651E8"/>
    <w:rsid w:val="3F097DC4"/>
    <w:rsid w:val="3F984734"/>
    <w:rsid w:val="3FB61101"/>
    <w:rsid w:val="40053D34"/>
    <w:rsid w:val="40324FFF"/>
    <w:rsid w:val="403A431D"/>
    <w:rsid w:val="409D0FEC"/>
    <w:rsid w:val="40D274C7"/>
    <w:rsid w:val="40DE1933"/>
    <w:rsid w:val="41625835"/>
    <w:rsid w:val="41922CC6"/>
    <w:rsid w:val="41990073"/>
    <w:rsid w:val="41A12EF2"/>
    <w:rsid w:val="42C978AB"/>
    <w:rsid w:val="42DA0D68"/>
    <w:rsid w:val="42F86263"/>
    <w:rsid w:val="43022C1D"/>
    <w:rsid w:val="434F700E"/>
    <w:rsid w:val="436937A4"/>
    <w:rsid w:val="43766329"/>
    <w:rsid w:val="43A85705"/>
    <w:rsid w:val="43B531E0"/>
    <w:rsid w:val="442E36C4"/>
    <w:rsid w:val="448D6077"/>
    <w:rsid w:val="44B20DFF"/>
    <w:rsid w:val="44F00FAB"/>
    <w:rsid w:val="45CD50F0"/>
    <w:rsid w:val="45EB59C4"/>
    <w:rsid w:val="45F14251"/>
    <w:rsid w:val="46397839"/>
    <w:rsid w:val="4640158D"/>
    <w:rsid w:val="4646752A"/>
    <w:rsid w:val="46533B8B"/>
    <w:rsid w:val="47220563"/>
    <w:rsid w:val="4733397E"/>
    <w:rsid w:val="48494879"/>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7D5E66"/>
    <w:rsid w:val="509E2F2C"/>
    <w:rsid w:val="50DD3494"/>
    <w:rsid w:val="51355217"/>
    <w:rsid w:val="51977C40"/>
    <w:rsid w:val="51A667D4"/>
    <w:rsid w:val="51CD0A7D"/>
    <w:rsid w:val="51D910F6"/>
    <w:rsid w:val="52091195"/>
    <w:rsid w:val="525E7728"/>
    <w:rsid w:val="52732CD2"/>
    <w:rsid w:val="539B2A0C"/>
    <w:rsid w:val="53EB70D0"/>
    <w:rsid w:val="5451698E"/>
    <w:rsid w:val="54A96172"/>
    <w:rsid w:val="552471D5"/>
    <w:rsid w:val="555111B5"/>
    <w:rsid w:val="55786661"/>
    <w:rsid w:val="55B73D7B"/>
    <w:rsid w:val="55E36353"/>
    <w:rsid w:val="55F81A58"/>
    <w:rsid w:val="55F96519"/>
    <w:rsid w:val="55FC238D"/>
    <w:rsid w:val="5684299E"/>
    <w:rsid w:val="56A077E2"/>
    <w:rsid w:val="56A27E3A"/>
    <w:rsid w:val="56B47509"/>
    <w:rsid w:val="56E7538E"/>
    <w:rsid w:val="57500BC0"/>
    <w:rsid w:val="58AE092B"/>
    <w:rsid w:val="58C26A87"/>
    <w:rsid w:val="58EA3DF7"/>
    <w:rsid w:val="59D00A4F"/>
    <w:rsid w:val="59FA5ED1"/>
    <w:rsid w:val="5A295142"/>
    <w:rsid w:val="5AEB6556"/>
    <w:rsid w:val="5B0F615F"/>
    <w:rsid w:val="5B5025BB"/>
    <w:rsid w:val="5B9D1DAF"/>
    <w:rsid w:val="5BA06434"/>
    <w:rsid w:val="5BCD734C"/>
    <w:rsid w:val="5C6E060C"/>
    <w:rsid w:val="5CE15514"/>
    <w:rsid w:val="5D2119D4"/>
    <w:rsid w:val="5D443BA6"/>
    <w:rsid w:val="5D44499B"/>
    <w:rsid w:val="5DFD1D36"/>
    <w:rsid w:val="5E5E5918"/>
    <w:rsid w:val="5EBA165D"/>
    <w:rsid w:val="5F163B6C"/>
    <w:rsid w:val="5F3F396F"/>
    <w:rsid w:val="5F4C5BA2"/>
    <w:rsid w:val="5F7666F1"/>
    <w:rsid w:val="5FA36E4F"/>
    <w:rsid w:val="5FA9504B"/>
    <w:rsid w:val="5FEB6F45"/>
    <w:rsid w:val="61C133E3"/>
    <w:rsid w:val="620705F9"/>
    <w:rsid w:val="6222511B"/>
    <w:rsid w:val="629D3DDA"/>
    <w:rsid w:val="62F343B1"/>
    <w:rsid w:val="632824CD"/>
    <w:rsid w:val="6364711E"/>
    <w:rsid w:val="63751073"/>
    <w:rsid w:val="63767D86"/>
    <w:rsid w:val="63AB7F12"/>
    <w:rsid w:val="63DE26DC"/>
    <w:rsid w:val="64CB2872"/>
    <w:rsid w:val="64D305FA"/>
    <w:rsid w:val="64DE19BE"/>
    <w:rsid w:val="64E25FD7"/>
    <w:rsid w:val="653C0B88"/>
    <w:rsid w:val="654D3437"/>
    <w:rsid w:val="65E13C9A"/>
    <w:rsid w:val="65FC7EA8"/>
    <w:rsid w:val="6614142D"/>
    <w:rsid w:val="663366B5"/>
    <w:rsid w:val="66AB633F"/>
    <w:rsid w:val="66C61F6F"/>
    <w:rsid w:val="673F520B"/>
    <w:rsid w:val="67A63462"/>
    <w:rsid w:val="67B053E9"/>
    <w:rsid w:val="67D41112"/>
    <w:rsid w:val="67EB1E5A"/>
    <w:rsid w:val="682300DA"/>
    <w:rsid w:val="685A617B"/>
    <w:rsid w:val="686A22FC"/>
    <w:rsid w:val="68A818F4"/>
    <w:rsid w:val="692D4505"/>
    <w:rsid w:val="694E6F19"/>
    <w:rsid w:val="6A82748B"/>
    <w:rsid w:val="6AE05E8B"/>
    <w:rsid w:val="6B292A76"/>
    <w:rsid w:val="6B4E2477"/>
    <w:rsid w:val="6BA91AFA"/>
    <w:rsid w:val="6C5B10CF"/>
    <w:rsid w:val="6CAD3909"/>
    <w:rsid w:val="6CF163F9"/>
    <w:rsid w:val="6CF96471"/>
    <w:rsid w:val="6D5213D2"/>
    <w:rsid w:val="6D523F4B"/>
    <w:rsid w:val="6DB77BCC"/>
    <w:rsid w:val="6DE019ED"/>
    <w:rsid w:val="6E43329D"/>
    <w:rsid w:val="6E4F4B3B"/>
    <w:rsid w:val="6E781CB6"/>
    <w:rsid w:val="6E7870B5"/>
    <w:rsid w:val="6E972F68"/>
    <w:rsid w:val="6EB52941"/>
    <w:rsid w:val="6EF329FA"/>
    <w:rsid w:val="6EF3511C"/>
    <w:rsid w:val="6F4F6D65"/>
    <w:rsid w:val="6F7913D4"/>
    <w:rsid w:val="6FC43B63"/>
    <w:rsid w:val="6FFB03FC"/>
    <w:rsid w:val="70222026"/>
    <w:rsid w:val="70590C2C"/>
    <w:rsid w:val="708333D1"/>
    <w:rsid w:val="70870094"/>
    <w:rsid w:val="708763BB"/>
    <w:rsid w:val="70E36668"/>
    <w:rsid w:val="711174A8"/>
    <w:rsid w:val="712B76F3"/>
    <w:rsid w:val="715C2F00"/>
    <w:rsid w:val="716F0EE9"/>
    <w:rsid w:val="71BD0EA6"/>
    <w:rsid w:val="71C07D6D"/>
    <w:rsid w:val="71DE693A"/>
    <w:rsid w:val="71E85002"/>
    <w:rsid w:val="72114AAA"/>
    <w:rsid w:val="722E4D65"/>
    <w:rsid w:val="726B7B06"/>
    <w:rsid w:val="727B270D"/>
    <w:rsid w:val="72BE7537"/>
    <w:rsid w:val="72F02BA8"/>
    <w:rsid w:val="73474EC7"/>
    <w:rsid w:val="73475147"/>
    <w:rsid w:val="735C36EF"/>
    <w:rsid w:val="73693E7F"/>
    <w:rsid w:val="737F69AF"/>
    <w:rsid w:val="739442D5"/>
    <w:rsid w:val="73C12DD8"/>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586CD4"/>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sz w:val="28"/>
      <w:szCs w:val="20"/>
    </w:rPr>
  </w:style>
  <w:style w:type="paragraph" w:styleId="5">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6">
    <w:name w:val="Normal Indent"/>
    <w:basedOn w:val="1"/>
    <w:qFormat/>
    <w:uiPriority w:val="99"/>
    <w:pPr>
      <w:ind w:firstLine="420"/>
    </w:pPr>
    <w:rPr>
      <w:szCs w:val="20"/>
    </w:rPr>
  </w:style>
  <w:style w:type="paragraph" w:styleId="7">
    <w:name w:val="toa heading"/>
    <w:basedOn w:val="1"/>
    <w:next w:val="1"/>
    <w:semiHidden/>
    <w:qFormat/>
    <w:uiPriority w:val="0"/>
    <w:pPr>
      <w:spacing w:before="120"/>
    </w:pPr>
    <w:rPr>
      <w:rFonts w:ascii="Arial" w:hAnsi="Arial" w:cs="Arial"/>
      <w:sz w:val="24"/>
    </w:rPr>
  </w:style>
  <w:style w:type="paragraph" w:styleId="8">
    <w:name w:val="Body Text Indent"/>
    <w:basedOn w:val="1"/>
    <w:next w:val="9"/>
    <w:qFormat/>
    <w:uiPriority w:val="0"/>
    <w:pPr>
      <w:ind w:firstLine="720" w:firstLineChars="225"/>
    </w:pPr>
    <w:rPr>
      <w:rFonts w:ascii="仿宋_GB2312" w:hAnsi="Times New Roman" w:eastAsia="仿宋_GB2312"/>
      <w:sz w:val="32"/>
      <w:szCs w:val="32"/>
    </w:rPr>
  </w:style>
  <w:style w:type="paragraph" w:styleId="9">
    <w:name w:val="envelope return"/>
    <w:basedOn w:val="1"/>
    <w:qFormat/>
    <w:uiPriority w:val="99"/>
    <w:rPr>
      <w:rFonts w:ascii="Arial" w:hAnsi="Arial"/>
    </w:rPr>
  </w:style>
  <w:style w:type="paragraph" w:styleId="10">
    <w:name w:val="Plain Text"/>
    <w:basedOn w:val="1"/>
    <w:link w:val="40"/>
    <w:qFormat/>
    <w:uiPriority w:val="99"/>
    <w:rPr>
      <w:rFonts w:ascii="宋体" w:hAnsi="Courier New"/>
      <w:szCs w:val="20"/>
    </w:rPr>
  </w:style>
  <w:style w:type="paragraph" w:styleId="11">
    <w:name w:val="Date"/>
    <w:basedOn w:val="1"/>
    <w:next w:val="1"/>
    <w:qFormat/>
    <w:uiPriority w:val="0"/>
    <w:rPr>
      <w:rFonts w:ascii="宋体"/>
      <w:sz w:val="24"/>
    </w:rPr>
  </w:style>
  <w:style w:type="paragraph" w:styleId="12">
    <w:name w:val="Balloon Text"/>
    <w:basedOn w:val="1"/>
    <w:link w:val="34"/>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Body Text First Indent"/>
    <w:basedOn w:val="2"/>
    <w:next w:val="19"/>
    <w:unhideWhenUsed/>
    <w:qFormat/>
    <w:uiPriority w:val="99"/>
    <w:pPr>
      <w:ind w:firstLine="420" w:firstLineChars="100"/>
    </w:pPr>
  </w:style>
  <w:style w:type="paragraph" w:styleId="19">
    <w:name w:val="Body Text First Indent 2"/>
    <w:basedOn w:val="8"/>
    <w:next w:val="6"/>
    <w:qFormat/>
    <w:uiPriority w:val="0"/>
    <w:pPr>
      <w:ind w:firstLine="420" w:firstLineChars="200"/>
    </w:pPr>
    <w:rPr>
      <w:rFonts w:ascii="Times New Roman" w:eastAsia="宋体"/>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style4"/>
    <w:basedOn w:val="1"/>
    <w:next w:val="27"/>
    <w:qFormat/>
    <w:uiPriority w:val="0"/>
    <w:pPr>
      <w:widowControl/>
      <w:spacing w:before="280" w:after="280"/>
    </w:pPr>
    <w:rPr>
      <w:rFonts w:ascii="宋体"/>
      <w:sz w:val="18"/>
    </w:rPr>
  </w:style>
  <w:style w:type="paragraph" w:customStyle="1" w:styleId="2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8">
    <w:name w:val="无间隔1"/>
    <w:basedOn w:val="1"/>
    <w:qFormat/>
    <w:uiPriority w:val="1"/>
    <w:pPr>
      <w:spacing w:line="400" w:lineRule="exact"/>
    </w:pPr>
    <w:rPr>
      <w:sz w:val="24"/>
    </w:rPr>
  </w:style>
  <w:style w:type="paragraph" w:customStyle="1" w:styleId="29">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2"/>
    <w:link w:val="12"/>
    <w:qFormat/>
    <w:uiPriority w:val="0"/>
    <w:rPr>
      <w:rFonts w:ascii="Calibri" w:hAnsi="Calibri" w:eastAsia="宋体" w:cs="Times New Roman"/>
      <w:kern w:val="2"/>
      <w:sz w:val="18"/>
      <w:szCs w:val="18"/>
    </w:rPr>
  </w:style>
  <w:style w:type="paragraph" w:customStyle="1" w:styleId="35">
    <w:name w:val="正文_0_0"/>
    <w:basedOn w:val="1"/>
    <w:qFormat/>
    <w:uiPriority w:val="0"/>
    <w:rPr>
      <w:rFonts w:ascii="Times New Roman" w:hAnsi="Times New Roman"/>
      <w:szCs w:val="21"/>
    </w:rPr>
  </w:style>
  <w:style w:type="character" w:customStyle="1" w:styleId="36">
    <w:name w:val="15"/>
    <w:basedOn w:val="22"/>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8">
    <w:name w:val="列出段落1"/>
    <w:basedOn w:val="1"/>
    <w:qFormat/>
    <w:uiPriority w:val="0"/>
    <w:pPr>
      <w:ind w:firstLine="420" w:firstLineChars="200"/>
    </w:pPr>
  </w:style>
  <w:style w:type="paragraph" w:customStyle="1" w:styleId="39">
    <w:name w:val="Table Paragraph"/>
    <w:basedOn w:val="1"/>
    <w:qFormat/>
    <w:uiPriority w:val="1"/>
    <w:rPr>
      <w:rFonts w:ascii="宋体" w:hAnsi="宋体" w:cs="宋体"/>
      <w:lang w:val="ja-JP" w:eastAsia="ja-JP" w:bidi="ja-JP"/>
    </w:rPr>
  </w:style>
  <w:style w:type="character" w:customStyle="1" w:styleId="40">
    <w:name w:val="纯文本 字符"/>
    <w:basedOn w:val="22"/>
    <w:link w:val="10"/>
    <w:autoRedefine/>
    <w:qFormat/>
    <w:locked/>
    <w:uiPriority w:val="99"/>
    <w:rPr>
      <w:rFonts w:ascii="宋体" w:hAnsi="Courier New"/>
      <w:kern w:val="2"/>
      <w:sz w:val="21"/>
    </w:rPr>
  </w:style>
  <w:style w:type="paragraph" w:customStyle="1" w:styleId="41">
    <w:name w:val="Table Text"/>
    <w:basedOn w:val="1"/>
    <w:semiHidden/>
    <w:qFormat/>
    <w:uiPriority w:val="0"/>
    <w:rPr>
      <w:rFonts w:ascii="宋体" w:hAnsi="宋体" w:eastAsia="宋体" w:cs="宋体"/>
      <w:sz w:val="17"/>
      <w:szCs w:val="17"/>
      <w:lang w:val="en-US" w:eastAsia="en-US" w:bidi="ar-SA"/>
    </w:rPr>
  </w:style>
  <w:style w:type="table" w:customStyle="1" w:styleId="4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31</Pages>
  <Words>7899</Words>
  <Characters>8441</Characters>
  <Lines>124</Lines>
  <Paragraphs>34</Paragraphs>
  <TotalTime>9</TotalTime>
  <ScaleCrop>false</ScaleCrop>
  <LinksUpToDate>false</LinksUpToDate>
  <CharactersWithSpaces>11489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2025-04-02T01:12:00Z</cp:lastPrinted>
  <dcterms:modified xsi:type="dcterms:W3CDTF">2026-01-07T07:39:38Z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90EBD7DD353D48A1A04E49819BBCF156_13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